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CE" w:rsidRPr="003D67E4" w:rsidRDefault="00755BCE" w:rsidP="00755BCE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nº. 051/2021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</w:p>
    <w:p w:rsidR="00755BCE" w:rsidRPr="00127960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7044F1">
        <w:rPr>
          <w:rFonts w:ascii="Arial" w:hAnsi="Arial" w:cs="Arial"/>
          <w:b/>
          <w:sz w:val="22"/>
          <w:szCs w:val="22"/>
        </w:rPr>
        <w:t>W PIROCA ENGENHARIA &amp; CONSTRUÇÕES LTDA - ME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32.046.973/0001-58</w:t>
      </w:r>
      <w:r w:rsidRPr="00127960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Avenida Flor do Sertão, nº. 426, na </w:t>
      </w:r>
      <w:r w:rsidRPr="00127960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Flor do Sertão - SC</w:t>
      </w:r>
      <w:r w:rsidRPr="00127960">
        <w:rPr>
          <w:rFonts w:ascii="Arial" w:hAnsi="Arial" w:cs="Arial"/>
          <w:sz w:val="22"/>
          <w:szCs w:val="22"/>
        </w:rPr>
        <w:t xml:space="preserve">, neste ato representada pelo Sr. </w:t>
      </w:r>
      <w:r>
        <w:rPr>
          <w:rFonts w:ascii="Arial" w:hAnsi="Arial" w:cs="Arial"/>
          <w:sz w:val="22"/>
          <w:szCs w:val="22"/>
        </w:rPr>
        <w:t>William Piroca</w:t>
      </w:r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071.911.939-13 e Cédula de Identidade nº. 5.517.786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>
        <w:rPr>
          <w:rFonts w:ascii="Arial" w:eastAsia="Batang" w:hAnsi="Arial" w:cs="Arial"/>
          <w:sz w:val="22"/>
          <w:szCs w:val="22"/>
        </w:rPr>
        <w:t xml:space="preserve">, Lei Orgânica Municipal e </w:t>
      </w:r>
      <w:r w:rsidRPr="00127960">
        <w:rPr>
          <w:rFonts w:ascii="Arial" w:eastAsia="Batang" w:hAnsi="Arial" w:cs="Arial"/>
          <w:sz w:val="22"/>
          <w:szCs w:val="22"/>
        </w:rPr>
        <w:t xml:space="preserve">Licitação nº. </w:t>
      </w:r>
      <w:r>
        <w:rPr>
          <w:rFonts w:ascii="Arial" w:eastAsia="Batang" w:hAnsi="Arial" w:cs="Arial"/>
          <w:sz w:val="22"/>
          <w:szCs w:val="22"/>
        </w:rPr>
        <w:t>2112/2021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Tomada de Preço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05/2021,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</w:p>
    <w:p w:rsidR="00755BCE" w:rsidRPr="003D67E4" w:rsidRDefault="00755BCE" w:rsidP="00755BC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</w:p>
    <w:p w:rsidR="00755BCE" w:rsidRDefault="00755BCE" w:rsidP="00755BC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572B76">
        <w:t xml:space="preserve"> </w:t>
      </w:r>
      <w:r w:rsidRPr="0052630F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CONSTRUÇÃO DE REFEITÓRIO NA ÁREA INDUSTRIAL COM AREA TOTAL DE 87,50m²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55BCE" w:rsidRDefault="00755BCE" w:rsidP="00755BC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755BCE" w:rsidRDefault="00755BCE" w:rsidP="00755BCE">
      <w:pPr>
        <w:pStyle w:val="Corpodetexto"/>
        <w:ind w:left="-180" w:right="-54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p w:rsidR="00755BCE" w:rsidRDefault="00755BCE" w:rsidP="00755BCE">
      <w:pPr>
        <w:pStyle w:val="Corpodetexto"/>
        <w:tabs>
          <w:tab w:val="left" w:pos="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77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153"/>
        <w:gridCol w:w="995"/>
        <w:gridCol w:w="5392"/>
        <w:gridCol w:w="1338"/>
      </w:tblGrid>
      <w:tr w:rsidR="00755BCE" w:rsidRPr="006C35D7" w:rsidTr="00CF06FB">
        <w:trPr>
          <w:jc w:val="center"/>
        </w:trPr>
        <w:tc>
          <w:tcPr>
            <w:tcW w:w="898" w:type="dxa"/>
          </w:tcPr>
          <w:p w:rsidR="00755BCE" w:rsidRPr="006C35D7" w:rsidRDefault="00755BCE" w:rsidP="00CF06FB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1153" w:type="dxa"/>
          </w:tcPr>
          <w:p w:rsidR="00755BCE" w:rsidRPr="006C35D7" w:rsidRDefault="00755BCE" w:rsidP="00CF06FB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995" w:type="dxa"/>
          </w:tcPr>
          <w:p w:rsidR="00755BCE" w:rsidRPr="006C35D7" w:rsidRDefault="00755BCE" w:rsidP="00CF06FB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5392" w:type="dxa"/>
          </w:tcPr>
          <w:p w:rsidR="00755BCE" w:rsidRPr="006C35D7" w:rsidRDefault="00755BCE" w:rsidP="00CF06FB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338" w:type="dxa"/>
          </w:tcPr>
          <w:p w:rsidR="00755BCE" w:rsidRPr="006C35D7" w:rsidRDefault="00755BCE" w:rsidP="00CF06FB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VALOR </w:t>
            </w:r>
          </w:p>
        </w:tc>
      </w:tr>
      <w:tr w:rsidR="00755BCE" w:rsidRPr="006C35D7" w:rsidTr="00CF06FB">
        <w:trPr>
          <w:jc w:val="center"/>
        </w:trPr>
        <w:tc>
          <w:tcPr>
            <w:tcW w:w="898" w:type="dxa"/>
          </w:tcPr>
          <w:p w:rsidR="00755BCE" w:rsidRDefault="00755BCE" w:rsidP="00CF06FB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755BCE" w:rsidRPr="006C35D7" w:rsidRDefault="00755BCE" w:rsidP="00CF06FB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755BCE" w:rsidRDefault="00755BCE" w:rsidP="00CF06FB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755BCE" w:rsidRPr="006C35D7" w:rsidRDefault="00755BCE" w:rsidP="00CF06FB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995" w:type="dxa"/>
          </w:tcPr>
          <w:p w:rsidR="00755BCE" w:rsidRDefault="00755BCE" w:rsidP="00CF06FB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755BCE" w:rsidRPr="006C35D7" w:rsidRDefault="00755BCE" w:rsidP="00CF06FB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5392" w:type="dxa"/>
          </w:tcPr>
          <w:p w:rsidR="00755BCE" w:rsidRPr="00BA455D" w:rsidRDefault="00755BCE" w:rsidP="00CF06FB">
            <w:pPr>
              <w:autoSpaceDE w:val="0"/>
              <w:autoSpaceDN w:val="0"/>
              <w:adjustRightInd w:val="0"/>
              <w:ind w:right="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SERVIÇO </w:t>
            </w:r>
            <w:r w:rsidRPr="00DC5FE3">
              <w:rPr>
                <w:rFonts w:ascii="Arial" w:hAnsi="Arial" w:cs="Arial"/>
                <w:color w:val="000000"/>
                <w:sz w:val="22"/>
                <w:szCs w:val="22"/>
              </w:rPr>
              <w:t xml:space="preserve">SOB REGIME DE EMPREITADA GLOBAL COM FORNECIMENTO DE MATERIAIS </w:t>
            </w:r>
            <w:r w:rsidRPr="0052630F">
              <w:rPr>
                <w:rFonts w:ascii="Arial" w:hAnsi="Arial" w:cs="Arial"/>
                <w:color w:val="000000"/>
                <w:sz w:val="22"/>
                <w:szCs w:val="22"/>
              </w:rPr>
              <w:t>PARA CONSTRUÇÃO DE REFEITÓRIO NA ÁREA INDUSTRIAL COM AREA TOTAL DE 87,50m²</w:t>
            </w:r>
          </w:p>
        </w:tc>
        <w:tc>
          <w:tcPr>
            <w:tcW w:w="1338" w:type="dxa"/>
          </w:tcPr>
          <w:p w:rsidR="00755BCE" w:rsidRDefault="00755BCE" w:rsidP="00CF06FB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55BCE" w:rsidRPr="006C35D7" w:rsidRDefault="00755BCE" w:rsidP="00CF06FB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135.950,00</w:t>
            </w:r>
          </w:p>
        </w:tc>
      </w:tr>
    </w:tbl>
    <w:p w:rsidR="00755BCE" w:rsidRDefault="00755BCE" w:rsidP="00755BC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755BCE" w:rsidRPr="006E2152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755BCE" w:rsidRPr="0026280C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 Valor do Presente contrato é de R$ 135.950,00 (Cento e Trinta e cinco mil e novecentos e cinquenta reais).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</w:p>
    <w:p w:rsidR="00755BCE" w:rsidRPr="003D67E4" w:rsidRDefault="00755BCE" w:rsidP="00755BCE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Pr="000807FC" w:rsidRDefault="00755BCE" w:rsidP="00755BCE">
      <w:pPr>
        <w:autoSpaceDE w:val="0"/>
        <w:autoSpaceDN w:val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755BCE" w:rsidRPr="000807FC" w:rsidRDefault="00755BCE" w:rsidP="00755BCE">
      <w:pPr>
        <w:ind w:right="-53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assinado pelo contador responsável, conforme definido no artigo 195 e subitens 7.02 e 7.05 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755BCE" w:rsidRPr="000807FC" w:rsidRDefault="00755BCE" w:rsidP="00755BCE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755BCE" w:rsidRPr="000807FC" w:rsidRDefault="00755BCE" w:rsidP="00755BCE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755BCE" w:rsidRPr="003D67E4" w:rsidRDefault="00755BCE" w:rsidP="00755BCE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Pr="00510E5F" w:rsidRDefault="00755BCE" w:rsidP="00755BCE">
      <w:pPr>
        <w:pStyle w:val="Corpodetexto"/>
        <w:ind w:left="-180" w:right="-23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 w:rsidRPr="00510E5F">
        <w:rPr>
          <w:rFonts w:ascii="Arial" w:hAnsi="Arial" w:cs="Arial"/>
          <w:sz w:val="22"/>
          <w:szCs w:val="22"/>
        </w:rPr>
        <w:t>223340006.1.004000 MANUT. ATIV. DESENV. ECONOMICO / AREA INDUSTRIAL</w:t>
      </w:r>
      <w:r w:rsidRPr="00510E5F">
        <w:rPr>
          <w:rFonts w:ascii="Arial" w:hAnsi="Arial" w:cs="Arial"/>
          <w:sz w:val="22"/>
          <w:szCs w:val="22"/>
          <w:lang w:val="pt-BR"/>
        </w:rPr>
        <w:t>;</w:t>
      </w:r>
    </w:p>
    <w:p w:rsidR="00755BCE" w:rsidRPr="003D67E4" w:rsidRDefault="00755BCE" w:rsidP="00755BCE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755BCE" w:rsidRPr="003D67E4" w:rsidRDefault="00755BCE" w:rsidP="00755BC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755BCE" w:rsidRDefault="00755BCE" w:rsidP="00755BCE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180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120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60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</w:p>
    <w:p w:rsidR="00755BCE" w:rsidRPr="003D67E4" w:rsidRDefault="00755BCE" w:rsidP="00755BC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270F82" w:rsidRDefault="00755BCE" w:rsidP="00755BCE">
      <w:pPr>
        <w:pStyle w:val="Corpodetexto"/>
        <w:ind w:right="-53"/>
        <w:rPr>
          <w:rFonts w:ascii="Arial" w:eastAsia="Batang" w:hAnsi="Arial" w:cs="Arial"/>
          <w:b/>
          <w:bCs/>
          <w:sz w:val="22"/>
          <w:szCs w:val="22"/>
          <w:lang w:val="pt-BR"/>
        </w:rPr>
      </w:pPr>
      <w:r>
        <w:rPr>
          <w:rFonts w:ascii="Arial" w:eastAsia="Batang" w:hAnsi="Arial" w:cs="Arial"/>
          <w:b/>
          <w:bCs/>
          <w:sz w:val="22"/>
          <w:szCs w:val="22"/>
          <w:lang w:val="pt-BR"/>
        </w:rPr>
        <w:t>A</w:t>
      </w:r>
      <w:r w:rsidRPr="00270F82">
        <w:rPr>
          <w:rFonts w:ascii="Arial" w:eastAsia="Batang" w:hAnsi="Arial" w:cs="Arial"/>
          <w:b/>
          <w:bCs/>
          <w:sz w:val="22"/>
          <w:szCs w:val="22"/>
          <w:lang w:val="pt-BR"/>
        </w:rPr>
        <w:t xml:space="preserve"> – A </w:t>
      </w:r>
      <w:r>
        <w:rPr>
          <w:rFonts w:ascii="Arial" w:eastAsia="Batang" w:hAnsi="Arial" w:cs="Arial"/>
          <w:b/>
          <w:bCs/>
          <w:sz w:val="22"/>
          <w:szCs w:val="22"/>
          <w:lang w:val="pt-BR"/>
        </w:rPr>
        <w:t>empresa</w:t>
      </w:r>
      <w:r w:rsidRPr="00270F82">
        <w:rPr>
          <w:rFonts w:ascii="Arial" w:eastAsia="Batang" w:hAnsi="Arial" w:cs="Arial"/>
          <w:b/>
          <w:bCs/>
          <w:sz w:val="22"/>
          <w:szCs w:val="22"/>
          <w:lang w:val="pt-BR"/>
        </w:rPr>
        <w:t xml:space="preserve"> deverá escolher uma das três opções descritas abaixo de prestação de garantia e apresentar ao município num prazo Máximo de 5 dias, </w:t>
      </w:r>
      <w:r w:rsidRPr="00270F82">
        <w:rPr>
          <w:rFonts w:ascii="Arial" w:eastAsia="Batang" w:hAnsi="Arial" w:cs="Arial"/>
          <w:b/>
          <w:sz w:val="22"/>
          <w:szCs w:val="22"/>
          <w:lang w:val="pt-BR"/>
        </w:rPr>
        <w:t>contados a partir da data da assinatura do contrato</w:t>
      </w:r>
      <w:r w:rsidRPr="00270F82">
        <w:rPr>
          <w:rFonts w:ascii="Arial" w:eastAsia="Batang" w:hAnsi="Arial" w:cs="Arial"/>
          <w:b/>
          <w:bCs/>
          <w:sz w:val="22"/>
          <w:szCs w:val="22"/>
          <w:lang w:val="pt-BR"/>
        </w:rPr>
        <w:t>:</w:t>
      </w:r>
    </w:p>
    <w:p w:rsidR="00755BCE" w:rsidRDefault="00755BCE" w:rsidP="00755BCE">
      <w:pPr>
        <w:pStyle w:val="Corpodetexto"/>
        <w:ind w:right="-53"/>
        <w:rPr>
          <w:rFonts w:ascii="Arial" w:eastAsia="Batang" w:hAnsi="Arial" w:cs="Arial"/>
          <w:bCs/>
          <w:sz w:val="22"/>
          <w:szCs w:val="22"/>
          <w:lang w:val="pt-BR"/>
        </w:rPr>
      </w:pPr>
    </w:p>
    <w:p w:rsidR="00755BCE" w:rsidRPr="00395543" w:rsidRDefault="00755BCE" w:rsidP="00755BCE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395543">
        <w:rPr>
          <w:rFonts w:ascii="Arial" w:hAnsi="Arial" w:cs="Arial"/>
          <w:b/>
          <w:color w:val="000000"/>
          <w:sz w:val="22"/>
          <w:szCs w:val="22"/>
        </w:rPr>
        <w:t xml:space="preserve"> - Caução em dinheiro de 5% do valor total do contrato ou em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Fazenda;</w:t>
      </w:r>
      <w:r w:rsidRPr="00395543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hyperlink r:id="rId4" w:anchor="art26" w:history="1">
        <w:r w:rsidRPr="00395543">
          <w:rPr>
            <w:rStyle w:val="Hyperlink"/>
            <w:rFonts w:ascii="Arial" w:hAnsi="Arial" w:cs="Arial"/>
            <w:b/>
            <w:sz w:val="22"/>
            <w:szCs w:val="22"/>
          </w:rPr>
          <w:t>(Redação dada pela Lei nº 11.079, de 2004)</w:t>
        </w:r>
      </w:hyperlink>
      <w:r w:rsidRPr="00395543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755BCE" w:rsidRPr="00395543" w:rsidRDefault="00755BCE" w:rsidP="00755BCE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BCE" w:rsidRPr="00395543" w:rsidRDefault="00755BCE" w:rsidP="00755BCE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 w:rsidRPr="00395543">
        <w:rPr>
          <w:rFonts w:ascii="Arial" w:hAnsi="Arial" w:cs="Arial"/>
          <w:b/>
          <w:color w:val="000000"/>
          <w:sz w:val="22"/>
          <w:szCs w:val="22"/>
        </w:rPr>
        <w:t xml:space="preserve"> - seguro-garantia; </w:t>
      </w:r>
      <w:hyperlink r:id="rId5" w:anchor="art1" w:history="1">
        <w:r w:rsidRPr="00395543">
          <w:rPr>
            <w:rStyle w:val="Hyperlink"/>
            <w:rFonts w:ascii="Arial" w:hAnsi="Arial" w:cs="Arial"/>
            <w:b/>
            <w:sz w:val="22"/>
            <w:szCs w:val="22"/>
          </w:rPr>
          <w:t>(Redação dada pela Lei nº 8.883, de 1994)</w:t>
        </w:r>
      </w:hyperlink>
    </w:p>
    <w:p w:rsidR="00755BCE" w:rsidRPr="00395543" w:rsidRDefault="00755BCE" w:rsidP="00755BCE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BCE" w:rsidRPr="00395543" w:rsidRDefault="00755BCE" w:rsidP="00755BCE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395543">
        <w:rPr>
          <w:rFonts w:ascii="Arial" w:hAnsi="Arial" w:cs="Arial"/>
          <w:b/>
          <w:color w:val="000000"/>
          <w:sz w:val="22"/>
          <w:szCs w:val="22"/>
        </w:rPr>
        <w:t xml:space="preserve"> - fiança bancária. </w:t>
      </w:r>
      <w:hyperlink r:id="rId6" w:anchor="art1" w:history="1">
        <w:r w:rsidRPr="00395543">
          <w:rPr>
            <w:rStyle w:val="Hyperlink"/>
            <w:rFonts w:ascii="Arial" w:hAnsi="Arial" w:cs="Arial"/>
            <w:b/>
            <w:sz w:val="22"/>
            <w:szCs w:val="22"/>
          </w:rPr>
          <w:t>(Redação dada pela Lei nº 8.883, de 8.6.94)</w:t>
        </w:r>
      </w:hyperlink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Executar os serviços cumprindo rigorosamente os projetos e memoriais conforme estabelecidos neste edital;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D67E4">
        <w:rPr>
          <w:rFonts w:ascii="Arial" w:hAnsi="Arial" w:cs="Arial"/>
          <w:sz w:val="22"/>
          <w:szCs w:val="22"/>
        </w:rPr>
        <w:t xml:space="preserve"> 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Prestar os esclarecimentos que forem solicitados pelo Município, cujas reclamações se obrigam a atender prontamente;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755BCE" w:rsidRPr="003D67E4" w:rsidRDefault="00755BCE" w:rsidP="00755BCE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755BCE" w:rsidRPr="003D67E4" w:rsidRDefault="00755BCE" w:rsidP="00755BCE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t>CLAUSULA SEXTA – DA FISCALIZAÇÃO</w:t>
      </w:r>
    </w:p>
    <w:p w:rsidR="00755BCE" w:rsidRDefault="00755BCE" w:rsidP="00755BCE">
      <w:pPr>
        <w:jc w:val="both"/>
        <w:rPr>
          <w:rFonts w:ascii="Arial" w:hAnsi="Arial" w:cs="Arial"/>
          <w:b/>
          <w:sz w:val="22"/>
          <w:szCs w:val="22"/>
        </w:rPr>
      </w:pPr>
    </w:p>
    <w:p w:rsidR="00755BCE" w:rsidRDefault="00755BCE" w:rsidP="00755BCE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lastRenderedPageBreak/>
        <w:t>O Município promoverá, através da Secretaria de Administração, o acompanhamento e a fiscalização dos serviços realizados em qualquer momento, não sendo necessariamente no ato da realização dos mesmos.</w:t>
      </w:r>
    </w:p>
    <w:p w:rsidR="00755BCE" w:rsidRPr="00ED7D34" w:rsidRDefault="00755BCE" w:rsidP="00755BCE">
      <w:pPr>
        <w:ind w:right="28"/>
        <w:jc w:val="both"/>
        <w:rPr>
          <w:rFonts w:ascii="Arial" w:hAnsi="Arial" w:cs="Arial"/>
          <w:sz w:val="22"/>
          <w:szCs w:val="22"/>
        </w:rPr>
      </w:pPr>
    </w:p>
    <w:p w:rsidR="00755BCE" w:rsidRPr="00ED7D34" w:rsidRDefault="00755BCE" w:rsidP="00755BCE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755BCE" w:rsidRPr="00ED7D34" w:rsidRDefault="00755BCE" w:rsidP="00755BCE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755BCE" w:rsidRDefault="00755BCE" w:rsidP="00755BCE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755BCE" w:rsidRDefault="00755BCE" w:rsidP="00755BCE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755BCE" w:rsidRDefault="00755BCE" w:rsidP="00755BCE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Lucas Augusto </w:t>
      </w:r>
      <w:proofErr w:type="spellStart"/>
      <w:r>
        <w:rPr>
          <w:rFonts w:ascii="Arial" w:hAnsi="Arial" w:cs="Arial"/>
          <w:b/>
          <w:sz w:val="22"/>
        </w:rPr>
        <w:t>Seibt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755BCE" w:rsidRPr="0037503D" w:rsidRDefault="00755BCE" w:rsidP="00755BCE">
      <w:pPr>
        <w:jc w:val="both"/>
        <w:rPr>
          <w:rFonts w:ascii="Arial" w:hAnsi="Arial" w:cs="Arial"/>
          <w:b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D – D</w:t>
      </w:r>
      <w:r w:rsidRPr="003D67E4">
        <w:rPr>
          <w:rFonts w:ascii="Arial" w:hAnsi="Arial" w:cs="Arial"/>
          <w:sz w:val="22"/>
          <w:szCs w:val="22"/>
        </w:rPr>
        <w:t xml:space="preserve">eclaração de inidoneidade para licitar junto à Administração Pública, enquanto perdurarem os motivos determinantes da punição, ou até que seja promovida a reabilitação perante a própria </w:t>
      </w:r>
      <w:r w:rsidRPr="003D67E4">
        <w:rPr>
          <w:rFonts w:ascii="Arial" w:hAnsi="Arial" w:cs="Arial"/>
          <w:sz w:val="22"/>
          <w:szCs w:val="22"/>
        </w:rPr>
        <w:lastRenderedPageBreak/>
        <w:t>autoridade que aplicou a penalidade, de acordo com o inciso IV do art. 87 da Lei Federal nº. 8.666 de 21 de junho de 1993;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IV – Se a contratada não proceder ao recolhimento da multa no prazo de 5 (cinco) dias úteis contados da intimação por parte do Município, o respectivo valor será descontado dos créditos que a contratada possuir com este, e, se estes não forem suficientes, o valor que sobejar será encaminhado para execução pela Assessoria Jurídica.</w:t>
      </w: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Pr="003D67E4" w:rsidRDefault="00755BCE" w:rsidP="00755BC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Ocorrendo modificações e/ou alterações no objeto, a correspondente medição ou ajuste será efetuada no final do mês de sua respectiva execução.</w:t>
      </w: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755BCE" w:rsidRPr="003D67E4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Flor do Sertão – SC, 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aos 10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dias do mês de </w:t>
      </w:r>
      <w:r>
        <w:rPr>
          <w:rFonts w:ascii="Arial" w:eastAsia="Batang" w:hAnsi="Arial" w:cs="Arial"/>
          <w:sz w:val="22"/>
          <w:szCs w:val="22"/>
          <w:lang w:val="pt-BR"/>
        </w:rPr>
        <w:t>novembro de 2021.</w:t>
      </w: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755BCE" w:rsidRDefault="00755BCE" w:rsidP="00755BCE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755BCE" w:rsidRPr="00092C75" w:rsidTr="00CF06FB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7044F1">
              <w:rPr>
                <w:rFonts w:ascii="Arial" w:hAnsi="Arial" w:cs="Arial"/>
                <w:b/>
                <w:sz w:val="22"/>
                <w:szCs w:val="22"/>
              </w:rPr>
              <w:t>WILLIAM PIROCA</w:t>
            </w:r>
          </w:p>
        </w:tc>
      </w:tr>
      <w:tr w:rsidR="00755BCE" w:rsidRPr="00092C75" w:rsidTr="00CF06FB">
        <w:trPr>
          <w:trHeight w:val="210"/>
          <w:jc w:val="center"/>
        </w:trPr>
        <w:tc>
          <w:tcPr>
            <w:tcW w:w="4820" w:type="dxa"/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071.911.939-13</w:t>
            </w:r>
          </w:p>
        </w:tc>
      </w:tr>
      <w:tr w:rsidR="00755BCE" w:rsidRPr="00092C75" w:rsidTr="00CF06FB">
        <w:trPr>
          <w:trHeight w:val="210"/>
          <w:jc w:val="center"/>
        </w:trPr>
        <w:tc>
          <w:tcPr>
            <w:tcW w:w="4820" w:type="dxa"/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p w:rsidR="00755BCE" w:rsidRDefault="00755BCE" w:rsidP="00755B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755BCE" w:rsidRPr="00092C75" w:rsidTr="00CF06FB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C75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755BCE" w:rsidRPr="00092C75" w:rsidTr="00CF06FB">
        <w:trPr>
          <w:jc w:val="center"/>
        </w:trPr>
        <w:tc>
          <w:tcPr>
            <w:tcW w:w="4756" w:type="dxa"/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755BCE" w:rsidRPr="00092C75" w:rsidTr="00CF06FB">
        <w:trPr>
          <w:jc w:val="center"/>
        </w:trPr>
        <w:tc>
          <w:tcPr>
            <w:tcW w:w="4756" w:type="dxa"/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755BCE" w:rsidRPr="00092C75" w:rsidRDefault="00755BC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5BCE" w:rsidRPr="00092C75" w:rsidRDefault="00755BC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082CFD" w:rsidRDefault="00082CFD">
      <w:bookmarkStart w:id="0" w:name="_GoBack"/>
      <w:bookmarkEnd w:id="0"/>
    </w:p>
    <w:sectPr w:rsidR="00082CFD" w:rsidSect="007E5917">
      <w:headerReference w:type="even" r:id="rId7"/>
      <w:headerReference w:type="default" r:id="rId8"/>
      <w:footerReference w:type="default" r:id="rId9"/>
      <w:pgSz w:w="11907" w:h="16840" w:code="9"/>
      <w:pgMar w:top="1979" w:right="1106" w:bottom="539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0F" w:rsidRDefault="00755BC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F4B9A3" wp14:editId="0F829AB4">
          <wp:simplePos x="0" y="0"/>
          <wp:positionH relativeFrom="margin">
            <wp:posOffset>-723900</wp:posOffset>
          </wp:positionH>
          <wp:positionV relativeFrom="margin">
            <wp:posOffset>8453120</wp:posOffset>
          </wp:positionV>
          <wp:extent cx="7743825" cy="99060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0F" w:rsidRDefault="00755B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30F" w:rsidRDefault="00755BC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0F" w:rsidRDefault="00755BCE">
    <w:pPr>
      <w:pStyle w:val="Cabealho"/>
      <w:framePr w:wrap="around" w:vAnchor="text" w:hAnchor="margin" w:xAlign="right" w:y="1"/>
      <w:rPr>
        <w:rStyle w:val="Nmerodepgina"/>
      </w:rPr>
    </w:pPr>
  </w:p>
  <w:p w:rsidR="0052630F" w:rsidRDefault="00755BCE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0A3B8" wp14:editId="3845CDCB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CE"/>
    <w:rsid w:val="00082CFD"/>
    <w:rsid w:val="007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BACE"/>
  <w15:chartTrackingRefBased/>
  <w15:docId w15:val="{5E2C4BB6-61C8-4616-A5CA-BB82F96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55BCE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755BCE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755BCE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755BCE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755BCE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755B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5BCE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55BCE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755B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5B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755BCE"/>
    <w:rPr>
      <w:rFonts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755BCE"/>
    <w:rPr>
      <w:rFonts w:cs="Times New Roman"/>
    </w:rPr>
  </w:style>
  <w:style w:type="paragraph" w:styleId="Rodap">
    <w:name w:val="footer"/>
    <w:basedOn w:val="Normal"/>
    <w:link w:val="RodapChar"/>
    <w:uiPriority w:val="99"/>
    <w:rsid w:val="00755BCE"/>
    <w:pPr>
      <w:tabs>
        <w:tab w:val="center" w:pos="4252"/>
        <w:tab w:val="right" w:pos="8504"/>
      </w:tabs>
    </w:pPr>
    <w:rPr>
      <w:rFonts w:asciiTheme="minorHAnsi" w:eastAsiaTheme="minorHAnsi" w:hAnsiTheme="minorHAnsi"/>
    </w:rPr>
  </w:style>
  <w:style w:type="character" w:customStyle="1" w:styleId="RodapChar1">
    <w:name w:val="Rodapé Char1"/>
    <w:basedOn w:val="Fontepargpadro"/>
    <w:uiPriority w:val="99"/>
    <w:semiHidden/>
    <w:rsid w:val="00755B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55B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755BCE"/>
    <w:rPr>
      <w:rFonts w:cs="Times New Roman"/>
    </w:rPr>
  </w:style>
  <w:style w:type="paragraph" w:styleId="NormalWeb">
    <w:name w:val="Normal (Web)"/>
    <w:basedOn w:val="Normal"/>
    <w:uiPriority w:val="99"/>
    <w:rsid w:val="00755BC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sonospacing0">
    <w:name w:val="msonospacing"/>
    <w:basedOn w:val="Normal"/>
    <w:uiPriority w:val="99"/>
    <w:rsid w:val="00755B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88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Leis/L888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_Ato2004-2006/2004/Lei/L11079.htm" TargetMode="Externa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2021-11-10T17:27:00Z</dcterms:created>
  <dcterms:modified xsi:type="dcterms:W3CDTF">2021-11-10T17:32:00Z</dcterms:modified>
</cp:coreProperties>
</file>