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56" w:rsidRDefault="00145556" w:rsidP="00145556">
      <w:pPr>
        <w:jc w:val="center"/>
        <w:rPr>
          <w:rFonts w:ascii="Arial" w:hAnsi="Arial" w:cs="Arial"/>
          <w:b/>
          <w:sz w:val="24"/>
          <w:szCs w:val="24"/>
        </w:rPr>
      </w:pPr>
      <w:r w:rsidRPr="00145556">
        <w:rPr>
          <w:rFonts w:ascii="Arial" w:hAnsi="Arial" w:cs="Arial"/>
          <w:b/>
          <w:sz w:val="24"/>
          <w:szCs w:val="24"/>
        </w:rPr>
        <w:t>ATA DE REGISTRO DE PREÇOS</w:t>
      </w:r>
      <w:r>
        <w:rPr>
          <w:rFonts w:ascii="Arial" w:hAnsi="Arial" w:cs="Arial"/>
          <w:b/>
          <w:sz w:val="24"/>
          <w:szCs w:val="24"/>
        </w:rPr>
        <w:t xml:space="preserve"> nº. 50/2021</w:t>
      </w:r>
    </w:p>
    <w:p w:rsidR="00145556" w:rsidRPr="00145556" w:rsidRDefault="00145556" w:rsidP="00145556">
      <w:pPr>
        <w:jc w:val="center"/>
        <w:rPr>
          <w:rFonts w:ascii="Arial" w:hAnsi="Arial" w:cs="Arial"/>
          <w:sz w:val="24"/>
          <w:szCs w:val="24"/>
        </w:rPr>
      </w:pPr>
    </w:p>
    <w:p w:rsidR="00145556" w:rsidRPr="00ED134D" w:rsidRDefault="00145556" w:rsidP="00145556">
      <w:pPr>
        <w:pStyle w:val="Ttulo1"/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Processo Licitatório nº. </w:t>
      </w:r>
      <w:r>
        <w:rPr>
          <w:rFonts w:ascii="Arial" w:hAnsi="Arial" w:cs="Arial"/>
          <w:b/>
          <w:sz w:val="22"/>
          <w:szCs w:val="22"/>
        </w:rPr>
        <w:t>1780/2021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>Modalidade de Pregão Presencial – Registro de Preços nº</w:t>
      </w:r>
      <w:r>
        <w:rPr>
          <w:rFonts w:ascii="Arial" w:hAnsi="Arial" w:cs="Arial"/>
          <w:b/>
          <w:sz w:val="22"/>
          <w:szCs w:val="22"/>
        </w:rPr>
        <w:t>. 32/2021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Validade da ata de R.P.: </w:t>
      </w:r>
      <w:r>
        <w:rPr>
          <w:rFonts w:ascii="Arial" w:hAnsi="Arial" w:cs="Arial"/>
          <w:b/>
          <w:sz w:val="22"/>
          <w:szCs w:val="22"/>
        </w:rPr>
        <w:t xml:space="preserve">12 </w:t>
      </w:r>
      <w:r w:rsidRPr="00ED134D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doze</w:t>
      </w:r>
      <w:r w:rsidRPr="00ED134D"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meses</w:t>
      </w:r>
      <w:r w:rsidRPr="00ED134D">
        <w:rPr>
          <w:rFonts w:ascii="Arial" w:hAnsi="Arial" w:cs="Arial"/>
          <w:b/>
          <w:sz w:val="22"/>
          <w:szCs w:val="22"/>
        </w:rPr>
        <w:t xml:space="preserve"> contados a partir do dia </w:t>
      </w:r>
      <w:r>
        <w:rPr>
          <w:rFonts w:ascii="Arial" w:hAnsi="Arial" w:cs="Arial"/>
          <w:b/>
          <w:sz w:val="22"/>
          <w:szCs w:val="22"/>
        </w:rPr>
        <w:t>20/10/2021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Prefeito Municipal, Sr. </w:t>
      </w:r>
      <w:r>
        <w:rPr>
          <w:rFonts w:ascii="Arial" w:hAnsi="Arial" w:cs="Arial"/>
          <w:sz w:val="22"/>
          <w:szCs w:val="22"/>
        </w:rPr>
        <w:t xml:space="preserve">Sidnei José </w:t>
      </w:r>
      <w:proofErr w:type="spellStart"/>
      <w:r>
        <w:rPr>
          <w:rFonts w:ascii="Arial" w:hAnsi="Arial" w:cs="Arial"/>
          <w:sz w:val="22"/>
          <w:szCs w:val="22"/>
        </w:rPr>
        <w:t>Willinghöfer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  <w:sz w:val="22"/>
          <w:szCs w:val="22"/>
        </w:rPr>
        <w:t>503.319.819-04</w:t>
      </w:r>
      <w:r w:rsidRPr="00ED134D">
        <w:rPr>
          <w:rFonts w:ascii="Arial" w:hAnsi="Arial" w:cs="Arial"/>
          <w:sz w:val="22"/>
          <w:szCs w:val="22"/>
        </w:rPr>
        <w:t xml:space="preserve"> e portador da Cédula de Identidade n° </w:t>
      </w:r>
      <w:r>
        <w:rPr>
          <w:rFonts w:ascii="Arial" w:hAnsi="Arial" w:cs="Arial"/>
          <w:sz w:val="22"/>
          <w:szCs w:val="22"/>
        </w:rPr>
        <w:t>1.711.118</w:t>
      </w:r>
      <w:r w:rsidRPr="00ED134D">
        <w:rPr>
          <w:rFonts w:ascii="Arial" w:hAnsi="Arial" w:cs="Arial"/>
          <w:sz w:val="22"/>
          <w:szCs w:val="22"/>
        </w:rPr>
        <w:t xml:space="preserve"> SSP/SC, resolve, em face das propostas apresentadas no PREGÃO nº 05/2016, </w:t>
      </w:r>
      <w:r w:rsidRPr="00ED134D">
        <w:rPr>
          <w:rFonts w:ascii="Arial" w:hAnsi="Arial" w:cs="Arial"/>
          <w:b/>
          <w:sz w:val="22"/>
          <w:szCs w:val="22"/>
        </w:rPr>
        <w:t>REGISTRAR OS PREÇOS</w:t>
      </w:r>
      <w:r w:rsidRPr="00ED134D">
        <w:rPr>
          <w:rFonts w:ascii="Arial" w:hAnsi="Arial" w:cs="Arial"/>
          <w:sz w:val="22"/>
          <w:szCs w:val="22"/>
        </w:rPr>
        <w:t xml:space="preserve"> da empresa </w:t>
      </w:r>
      <w:r>
        <w:rPr>
          <w:rFonts w:ascii="Arial" w:hAnsi="Arial" w:cs="Arial"/>
          <w:b/>
          <w:sz w:val="22"/>
          <w:szCs w:val="22"/>
        </w:rPr>
        <w:t>PZO COMERCIO DE COMBUSTÍVEIS LTDA - EPP</w:t>
      </w:r>
      <w:r w:rsidRPr="00ED134D">
        <w:rPr>
          <w:rFonts w:ascii="Arial" w:hAnsi="Arial" w:cs="Arial"/>
          <w:b/>
          <w:sz w:val="22"/>
          <w:szCs w:val="22"/>
        </w:rPr>
        <w:t>,</w:t>
      </w:r>
      <w:r w:rsidRPr="00ED134D">
        <w:rPr>
          <w:rFonts w:ascii="Arial" w:hAnsi="Arial" w:cs="Arial"/>
          <w:sz w:val="22"/>
          <w:szCs w:val="22"/>
        </w:rPr>
        <w:t xml:space="preserve"> inscrita no CNPJ/MF sob o n° </w:t>
      </w:r>
      <w:r>
        <w:rPr>
          <w:rFonts w:ascii="Arial" w:hAnsi="Arial" w:cs="Arial"/>
          <w:sz w:val="22"/>
          <w:szCs w:val="22"/>
        </w:rPr>
        <w:t>02.320.212/0001-81</w:t>
      </w:r>
      <w:r w:rsidRPr="00ED134D">
        <w:rPr>
          <w:rFonts w:ascii="Arial" w:hAnsi="Arial" w:cs="Arial"/>
          <w:sz w:val="22"/>
          <w:szCs w:val="22"/>
        </w:rPr>
        <w:t xml:space="preserve"> estabelecida na </w:t>
      </w:r>
      <w:r>
        <w:rPr>
          <w:rFonts w:ascii="Arial" w:hAnsi="Arial" w:cs="Arial"/>
          <w:sz w:val="22"/>
          <w:szCs w:val="22"/>
        </w:rPr>
        <w:t>Rua da Barra</w:t>
      </w:r>
      <w:r w:rsidRPr="00ED134D">
        <w:rPr>
          <w:rFonts w:ascii="Arial" w:hAnsi="Arial" w:cs="Arial"/>
          <w:sz w:val="22"/>
          <w:szCs w:val="22"/>
        </w:rPr>
        <w:t xml:space="preserve">, nº. </w:t>
      </w:r>
      <w:r>
        <w:rPr>
          <w:rFonts w:ascii="Arial" w:hAnsi="Arial" w:cs="Arial"/>
          <w:sz w:val="22"/>
          <w:szCs w:val="22"/>
        </w:rPr>
        <w:t>436</w:t>
      </w:r>
      <w:r w:rsidRPr="00ED134D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Flor do Sertão - SC</w:t>
      </w:r>
      <w:r w:rsidRPr="00ED134D">
        <w:rPr>
          <w:rFonts w:ascii="Arial" w:hAnsi="Arial" w:cs="Arial"/>
          <w:sz w:val="22"/>
          <w:szCs w:val="22"/>
        </w:rPr>
        <w:t xml:space="preserve">, neste ato representada pelo </w:t>
      </w:r>
      <w:r w:rsidRPr="00ED134D">
        <w:rPr>
          <w:rFonts w:ascii="Arial" w:hAnsi="Arial" w:cs="Arial"/>
          <w:b/>
          <w:sz w:val="22"/>
          <w:szCs w:val="22"/>
        </w:rPr>
        <w:t xml:space="preserve">Sr. </w:t>
      </w:r>
      <w:r>
        <w:rPr>
          <w:rFonts w:ascii="Arial" w:hAnsi="Arial" w:cs="Arial"/>
          <w:b/>
          <w:sz w:val="22"/>
          <w:szCs w:val="22"/>
        </w:rPr>
        <w:t>Lucas de Marco</w:t>
      </w:r>
      <w:r w:rsidRPr="00ED134D">
        <w:rPr>
          <w:rFonts w:ascii="Arial" w:hAnsi="Arial" w:cs="Arial"/>
          <w:sz w:val="22"/>
          <w:szCs w:val="22"/>
        </w:rPr>
        <w:t xml:space="preserve">, inscrito no CPF/MF sob nº. </w:t>
      </w:r>
      <w:r>
        <w:rPr>
          <w:rFonts w:ascii="Arial" w:hAnsi="Arial" w:cs="Arial"/>
          <w:sz w:val="22"/>
          <w:szCs w:val="22"/>
        </w:rPr>
        <w:t>044.488.499-88</w:t>
      </w:r>
      <w:r w:rsidRPr="00ED134D">
        <w:rPr>
          <w:rFonts w:ascii="Arial" w:hAnsi="Arial" w:cs="Arial"/>
          <w:sz w:val="22"/>
          <w:szCs w:val="22"/>
        </w:rPr>
        <w:t xml:space="preserve"> e Identidade nº. </w:t>
      </w:r>
      <w:r>
        <w:rPr>
          <w:rFonts w:ascii="Arial" w:hAnsi="Arial" w:cs="Arial"/>
          <w:sz w:val="22"/>
          <w:szCs w:val="22"/>
        </w:rPr>
        <w:t>4.676.780</w:t>
      </w:r>
      <w:r w:rsidRPr="00ED134D">
        <w:rPr>
          <w:rFonts w:ascii="Arial" w:hAnsi="Arial" w:cs="Arial"/>
          <w:sz w:val="22"/>
          <w:szCs w:val="22"/>
        </w:rPr>
        <w:t xml:space="preserve">, doravante denominados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e </w:t>
      </w:r>
      <w:r w:rsidRPr="00ED134D">
        <w:rPr>
          <w:rFonts w:ascii="Arial" w:hAnsi="Arial" w:cs="Arial"/>
          <w:b/>
          <w:sz w:val="22"/>
          <w:szCs w:val="22"/>
        </w:rPr>
        <w:t>FORNECEDOR</w:t>
      </w:r>
      <w:r w:rsidRPr="00ED134D">
        <w:rPr>
          <w:rFonts w:ascii="Arial" w:hAnsi="Arial" w:cs="Arial"/>
          <w:sz w:val="22"/>
          <w:szCs w:val="22"/>
        </w:rPr>
        <w:t xml:space="preserve">, sujeitando-se as partes ao edital do Processo Licitatório nº. </w:t>
      </w:r>
      <w:r>
        <w:rPr>
          <w:rFonts w:ascii="Arial" w:hAnsi="Arial" w:cs="Arial"/>
          <w:sz w:val="22"/>
          <w:szCs w:val="22"/>
        </w:rPr>
        <w:t>1780/2021</w:t>
      </w:r>
      <w:r w:rsidRPr="00ED134D">
        <w:rPr>
          <w:rFonts w:ascii="Arial" w:hAnsi="Arial" w:cs="Arial"/>
          <w:sz w:val="22"/>
          <w:szCs w:val="22"/>
        </w:rPr>
        <w:t xml:space="preserve"> na modalidade de Pregão Presencial – Registro de preços nº. </w:t>
      </w:r>
      <w:r>
        <w:rPr>
          <w:rFonts w:ascii="Arial" w:hAnsi="Arial" w:cs="Arial"/>
          <w:sz w:val="22"/>
          <w:szCs w:val="22"/>
        </w:rPr>
        <w:t>32/2021</w:t>
      </w:r>
      <w:r w:rsidRPr="00ED134D">
        <w:rPr>
          <w:rFonts w:ascii="Arial" w:hAnsi="Arial" w:cs="Arial"/>
          <w:sz w:val="22"/>
          <w:szCs w:val="22"/>
        </w:rPr>
        <w:t>, às determinações das Leis nº. 8.666/93 atualizada, Lei 10.520/02, legislação complementar vigente e pertinente à matéria e às seguintes cláusulas: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- DO OBJETO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3E3FE0">
        <w:rPr>
          <w:rFonts w:ascii="Arial" w:hAnsi="Arial" w:cs="Arial"/>
          <w:sz w:val="22"/>
          <w:szCs w:val="22"/>
        </w:rPr>
        <w:t>I –</w:t>
      </w:r>
      <w:r w:rsidRPr="003E3FE0">
        <w:rPr>
          <w:rFonts w:ascii="Arial" w:hAnsi="Arial" w:cs="Arial"/>
          <w:b/>
          <w:sz w:val="22"/>
          <w:szCs w:val="22"/>
        </w:rPr>
        <w:t xml:space="preserve"> </w:t>
      </w:r>
      <w:r w:rsidRPr="003E3FE0">
        <w:rPr>
          <w:rFonts w:ascii="Arial" w:hAnsi="Arial" w:cs="Arial"/>
          <w:sz w:val="22"/>
          <w:szCs w:val="22"/>
        </w:rPr>
        <w:t>A presente Ata tem por objeto o Registro de Preços dos preços unitários a serem fornecidos sobre a</w:t>
      </w:r>
      <w:r w:rsidRPr="003E3FE0">
        <w:rPr>
          <w:rFonts w:ascii="Arial" w:hAnsi="Arial" w:cs="Arial"/>
          <w:b/>
          <w:sz w:val="22"/>
          <w:szCs w:val="22"/>
        </w:rPr>
        <w:t xml:space="preserve"> </w:t>
      </w:r>
      <w:r w:rsidRPr="00AB512F">
        <w:rPr>
          <w:rFonts w:ascii="Arial" w:hAnsi="Arial" w:cs="Arial"/>
          <w:sz w:val="22"/>
          <w:szCs w:val="22"/>
        </w:rPr>
        <w:t>REGISTRO DE PREÇOS DE SERVIÇOS DE MÃO DE OBRA MECÂNICA ESPECIALIZADA, PARA MANUTENÇÃO DAS MÁQUINAS DA LINHA PESADA, TRATORES DE PNEUS, CAMINHÕES, ÔNIBUS, MICRO ÔNIBUS, IMPLEMENTOS</w:t>
      </w:r>
      <w:r>
        <w:rPr>
          <w:rFonts w:ascii="Arial" w:hAnsi="Arial" w:cs="Arial"/>
          <w:sz w:val="22"/>
          <w:szCs w:val="22"/>
        </w:rPr>
        <w:t xml:space="preserve"> AGRICOLAS</w:t>
      </w:r>
      <w:r w:rsidRPr="00AB512F">
        <w:rPr>
          <w:rFonts w:ascii="Arial" w:hAnsi="Arial" w:cs="Arial"/>
          <w:sz w:val="22"/>
          <w:szCs w:val="22"/>
        </w:rPr>
        <w:t xml:space="preserve"> E VEICULOS LEVES DO MUNICÍPIO DE FLOR DO SERTÃO/SC</w:t>
      </w:r>
      <w:r w:rsidRPr="003E3FE0">
        <w:rPr>
          <w:rFonts w:ascii="Arial" w:hAnsi="Arial" w:cs="Arial"/>
          <w:b/>
          <w:sz w:val="22"/>
          <w:szCs w:val="22"/>
        </w:rPr>
        <w:t xml:space="preserve">, </w:t>
      </w:r>
      <w:r w:rsidRPr="003E3FE0">
        <w:rPr>
          <w:rFonts w:ascii="Arial" w:hAnsi="Arial" w:cs="Arial"/>
          <w:sz w:val="22"/>
          <w:szCs w:val="22"/>
        </w:rPr>
        <w:t>conforme as especificações e quantidades abaixo descritos:</w:t>
      </w:r>
    </w:p>
    <w:p w:rsidR="009458A1" w:rsidRDefault="009458A1" w:rsidP="00145556">
      <w:pPr>
        <w:jc w:val="both"/>
        <w:rPr>
          <w:rFonts w:ascii="Arial" w:hAnsi="Arial" w:cs="Arial"/>
          <w:sz w:val="22"/>
          <w:szCs w:val="22"/>
        </w:rPr>
      </w:pPr>
    </w:p>
    <w:p w:rsidR="009458A1" w:rsidRDefault="009458A1" w:rsidP="009458A1">
      <w:pPr>
        <w:pStyle w:val="Corpodetexto"/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 serviços a serem realizados no Lote 03 é referente os Seguintes Tratores de Pneu: TRATOR DE PNEU CASE IH, TRATOR DE PNEU JONH DEERE 5085,</w:t>
      </w:r>
      <w:r w:rsidRPr="001A270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TRATOR DE PNEU JONH DEERE 5090,</w:t>
      </w:r>
      <w:r w:rsidRPr="001A270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TRATOR DE PNEU JONH DEERE 5705, TRATOR DE PNEU M. FERGUSON 4275,</w:t>
      </w:r>
      <w:r w:rsidRPr="001A270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TRATOR DE PNEU M. FERGUSON 5710, podendo ser incluído mais tratores das mesmas marcas ou marcas diferentes, durante a vigência da Ata de Registro de Preços.</w:t>
      </w:r>
    </w:p>
    <w:tbl>
      <w:tblPr>
        <w:tblW w:w="9506" w:type="dxa"/>
        <w:tblInd w:w="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722"/>
        <w:gridCol w:w="881"/>
        <w:gridCol w:w="681"/>
        <w:gridCol w:w="4767"/>
        <w:gridCol w:w="1784"/>
      </w:tblGrid>
      <w:tr w:rsidR="009458A1" w:rsidRPr="009458A1" w:rsidTr="009458A1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8A1">
              <w:rPr>
                <w:rFonts w:ascii="Arial" w:hAnsi="Arial" w:cs="Arial"/>
                <w:b/>
                <w:sz w:val="18"/>
                <w:szCs w:val="18"/>
              </w:rPr>
              <w:t>LOTE</w:t>
            </w:r>
          </w:p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8A1">
              <w:rPr>
                <w:rFonts w:ascii="Arial" w:hAnsi="Arial" w:cs="Arial"/>
                <w:b/>
                <w:sz w:val="18"/>
                <w:szCs w:val="18"/>
              </w:rPr>
              <w:t>ITENS</w:t>
            </w:r>
          </w:p>
        </w:tc>
        <w:tc>
          <w:tcPr>
            <w:tcW w:w="8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8A1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6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8A1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47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458A1" w:rsidRPr="009458A1" w:rsidRDefault="009458A1" w:rsidP="002123E1">
            <w:pPr>
              <w:ind w:right="51"/>
              <w:rPr>
                <w:rFonts w:ascii="Arial" w:hAnsi="Arial" w:cs="Arial"/>
                <w:b/>
                <w:sz w:val="18"/>
                <w:szCs w:val="18"/>
              </w:rPr>
            </w:pPr>
            <w:r w:rsidRPr="009458A1">
              <w:rPr>
                <w:rFonts w:ascii="Arial" w:hAnsi="Arial" w:cs="Arial"/>
                <w:b/>
                <w:sz w:val="18"/>
                <w:szCs w:val="18"/>
              </w:rPr>
              <w:t>DESCRIÇÃO DO OBJETO</w:t>
            </w:r>
          </w:p>
        </w:tc>
        <w:tc>
          <w:tcPr>
            <w:tcW w:w="17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458A1" w:rsidRPr="009458A1" w:rsidRDefault="009458A1" w:rsidP="009458A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8A1">
              <w:rPr>
                <w:rFonts w:ascii="Arial" w:hAnsi="Arial" w:cs="Arial"/>
                <w:b/>
                <w:sz w:val="18"/>
                <w:szCs w:val="18"/>
              </w:rPr>
              <w:t>VALOR UNIT. – R$</w:t>
            </w:r>
          </w:p>
        </w:tc>
      </w:tr>
      <w:tr w:rsidR="009458A1" w:rsidRPr="009458A1" w:rsidTr="009458A1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2" w:type="dxa"/>
            <w:vAlign w:val="center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210,00</w:t>
            </w:r>
          </w:p>
        </w:tc>
        <w:tc>
          <w:tcPr>
            <w:tcW w:w="681" w:type="dxa"/>
            <w:vAlign w:val="center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767" w:type="dxa"/>
            <w:vAlign w:val="center"/>
          </w:tcPr>
          <w:p w:rsidR="009458A1" w:rsidRPr="009458A1" w:rsidRDefault="009458A1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SERVIÇOS DE MÃO DE OBRA HORA/HOMEM PARA MECÂNICA BÁSICA, CORRETIVA E PREVENTIVA REPOSIÇÃO DE PEÇAS, REPAROS E MANUTENÇÃO GERAL.</w:t>
            </w:r>
          </w:p>
        </w:tc>
        <w:tc>
          <w:tcPr>
            <w:tcW w:w="1784" w:type="dxa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8A1">
              <w:rPr>
                <w:rFonts w:ascii="Arial" w:hAnsi="Arial" w:cs="Arial"/>
                <w:b/>
                <w:sz w:val="18"/>
                <w:szCs w:val="18"/>
              </w:rPr>
              <w:t>151,00</w:t>
            </w:r>
          </w:p>
        </w:tc>
      </w:tr>
      <w:tr w:rsidR="009458A1" w:rsidRPr="009458A1" w:rsidTr="009458A1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2" w:type="dxa"/>
            <w:vAlign w:val="center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130,00</w:t>
            </w:r>
          </w:p>
        </w:tc>
        <w:tc>
          <w:tcPr>
            <w:tcW w:w="681" w:type="dxa"/>
            <w:vAlign w:val="center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767" w:type="dxa"/>
            <w:vAlign w:val="center"/>
          </w:tcPr>
          <w:p w:rsidR="009458A1" w:rsidRPr="009458A1" w:rsidRDefault="009458A1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SERVIÇOS DE MÃO DE OBRA HORA/HOMEM   PARA MECÂNICA QUALIFICADA EM ANALISE, AJUSTES E REPAROS EM SISTEMAS DE INJEÇÃO, BOMBA, BICOS E SISTEMA DE ALIMENTAÇÃO DE COMBUSTÍVEL.</w:t>
            </w:r>
          </w:p>
        </w:tc>
        <w:tc>
          <w:tcPr>
            <w:tcW w:w="1784" w:type="dxa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8A1">
              <w:rPr>
                <w:rFonts w:ascii="Arial" w:hAnsi="Arial" w:cs="Arial"/>
                <w:b/>
                <w:sz w:val="18"/>
                <w:szCs w:val="18"/>
              </w:rPr>
              <w:t>153,00</w:t>
            </w:r>
          </w:p>
        </w:tc>
      </w:tr>
      <w:tr w:rsidR="009458A1" w:rsidRPr="009458A1" w:rsidTr="009458A1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2" w:type="dxa"/>
            <w:vAlign w:val="center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130,00</w:t>
            </w:r>
          </w:p>
        </w:tc>
        <w:tc>
          <w:tcPr>
            <w:tcW w:w="681" w:type="dxa"/>
            <w:vAlign w:val="center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767" w:type="dxa"/>
            <w:vAlign w:val="center"/>
          </w:tcPr>
          <w:p w:rsidR="009458A1" w:rsidRPr="009458A1" w:rsidRDefault="009458A1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SERVIÇOS DE MÃO DE OBRA HORA/HOMEM   PARA MECÂNICA QUALIFICADA PARA ANALISE, AJUSTES E CORREÇÕES NO SISTEMA DE TRANSMISSÃO, COMANDOS E COMANDOS HIDRÁULICOS.</w:t>
            </w:r>
          </w:p>
        </w:tc>
        <w:tc>
          <w:tcPr>
            <w:tcW w:w="1784" w:type="dxa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8A1">
              <w:rPr>
                <w:rFonts w:ascii="Arial" w:hAnsi="Arial" w:cs="Arial"/>
                <w:b/>
                <w:sz w:val="18"/>
                <w:szCs w:val="18"/>
              </w:rPr>
              <w:t>153,00</w:t>
            </w:r>
          </w:p>
        </w:tc>
      </w:tr>
      <w:tr w:rsidR="009458A1" w:rsidRPr="009458A1" w:rsidTr="009458A1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2" w:type="dxa"/>
            <w:vAlign w:val="center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681" w:type="dxa"/>
            <w:vAlign w:val="center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767" w:type="dxa"/>
            <w:vAlign w:val="center"/>
          </w:tcPr>
          <w:p w:rsidR="009458A1" w:rsidRPr="009458A1" w:rsidRDefault="009458A1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 xml:space="preserve">MÃO DE OBRA HORA/HOMEM PARA MANUTENÇÃO MECÂNICA QUALIFICADA PARA REPAROS E MANUTENÇÃO NA PARTE ELETRICA DE TRATOR DE PNEU. </w:t>
            </w:r>
          </w:p>
        </w:tc>
        <w:tc>
          <w:tcPr>
            <w:tcW w:w="1784" w:type="dxa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8A1">
              <w:rPr>
                <w:rFonts w:ascii="Arial" w:hAnsi="Arial" w:cs="Arial"/>
                <w:b/>
                <w:sz w:val="18"/>
                <w:szCs w:val="18"/>
              </w:rPr>
              <w:t>151,00</w:t>
            </w:r>
          </w:p>
        </w:tc>
      </w:tr>
      <w:tr w:rsidR="009458A1" w:rsidRPr="009458A1" w:rsidTr="009458A1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2" w:type="dxa"/>
            <w:vAlign w:val="center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81" w:type="dxa"/>
            <w:vAlign w:val="center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681" w:type="dxa"/>
            <w:vAlign w:val="center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767" w:type="dxa"/>
            <w:vAlign w:val="center"/>
          </w:tcPr>
          <w:p w:rsidR="009458A1" w:rsidRPr="009458A1" w:rsidRDefault="009458A1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 xml:space="preserve">MÃO DE OBRA HORA/HOMEM PARA MANUTENÇÃO MECÂNICA QUALIFICADA PARA REALIZAÇÃO DE SOLDA MIG EM TODOS OS TRATORES DE PNEU COM TODO O MATERIAL INCLUSO. </w:t>
            </w:r>
          </w:p>
        </w:tc>
        <w:tc>
          <w:tcPr>
            <w:tcW w:w="1784" w:type="dxa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8A1">
              <w:rPr>
                <w:rFonts w:ascii="Arial" w:hAnsi="Arial" w:cs="Arial"/>
                <w:b/>
                <w:sz w:val="18"/>
                <w:szCs w:val="18"/>
              </w:rPr>
              <w:t>110,00</w:t>
            </w:r>
          </w:p>
        </w:tc>
      </w:tr>
      <w:tr w:rsidR="009458A1" w:rsidRPr="009458A1" w:rsidTr="009458A1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722" w:type="dxa"/>
            <w:vAlign w:val="center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81" w:type="dxa"/>
            <w:vAlign w:val="center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681" w:type="dxa"/>
            <w:vAlign w:val="center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767" w:type="dxa"/>
            <w:vAlign w:val="center"/>
          </w:tcPr>
          <w:p w:rsidR="009458A1" w:rsidRPr="009458A1" w:rsidRDefault="009458A1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 xml:space="preserve">MÃO DE OBRA HORA/HOMEM PARA MANUTENÇÃO MECÂNICA QUALIFICADA PARA REALIZAÇÃO DE SOLDA DE OXIGENCIO EM TODOS OS TRATORES DE PNEU COM TODO O MATERIAL INCLUSO. </w:t>
            </w:r>
          </w:p>
        </w:tc>
        <w:tc>
          <w:tcPr>
            <w:tcW w:w="1784" w:type="dxa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8A1">
              <w:rPr>
                <w:rFonts w:ascii="Arial" w:hAnsi="Arial" w:cs="Arial"/>
                <w:b/>
                <w:sz w:val="18"/>
                <w:szCs w:val="18"/>
              </w:rPr>
              <w:t>100,00</w:t>
            </w:r>
          </w:p>
        </w:tc>
      </w:tr>
      <w:tr w:rsidR="009458A1" w:rsidRPr="009458A1" w:rsidTr="009458A1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2" w:type="dxa"/>
            <w:vAlign w:val="center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81" w:type="dxa"/>
            <w:vAlign w:val="center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681" w:type="dxa"/>
            <w:vAlign w:val="center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767" w:type="dxa"/>
            <w:vAlign w:val="center"/>
          </w:tcPr>
          <w:p w:rsidR="009458A1" w:rsidRPr="009458A1" w:rsidRDefault="009458A1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 xml:space="preserve">SERVIÇO/HORA DE SCANNER COM CABO COMUNICADOR PARA MAQUINAS PESADAS </w:t>
            </w:r>
          </w:p>
        </w:tc>
        <w:tc>
          <w:tcPr>
            <w:tcW w:w="1784" w:type="dxa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8A1">
              <w:rPr>
                <w:rFonts w:ascii="Arial" w:hAnsi="Arial" w:cs="Arial"/>
                <w:b/>
                <w:sz w:val="18"/>
                <w:szCs w:val="18"/>
              </w:rPr>
              <w:t>220,00</w:t>
            </w:r>
          </w:p>
        </w:tc>
      </w:tr>
    </w:tbl>
    <w:p w:rsidR="009458A1" w:rsidRDefault="009458A1" w:rsidP="009458A1">
      <w:pPr>
        <w:pStyle w:val="Corpodetexto"/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9458A1" w:rsidRPr="00856AB9" w:rsidRDefault="009458A1" w:rsidP="009458A1">
      <w:pPr>
        <w:pStyle w:val="Corpodetexto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 serviços a serem realizados no Lote 08 é referente a manutenção de ar condicionados de Veículos leves relacionados nos lotes 01, 02, 03 e 04, podendo ser incluído mais maquinas e veículos das mesmas marcas ou marcas diferentes, durante a vigência da Ata de Registro de Preços.</w:t>
      </w:r>
    </w:p>
    <w:tbl>
      <w:tblPr>
        <w:tblW w:w="9562" w:type="dxa"/>
        <w:tblInd w:w="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22"/>
        <w:gridCol w:w="881"/>
        <w:gridCol w:w="681"/>
        <w:gridCol w:w="4718"/>
        <w:gridCol w:w="1840"/>
      </w:tblGrid>
      <w:tr w:rsidR="009458A1" w:rsidRPr="009458A1" w:rsidTr="009458A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8A1">
              <w:rPr>
                <w:rFonts w:ascii="Arial" w:hAnsi="Arial" w:cs="Arial"/>
                <w:b/>
                <w:sz w:val="18"/>
                <w:szCs w:val="18"/>
              </w:rPr>
              <w:t>LOTE</w:t>
            </w:r>
          </w:p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458A1" w:rsidRPr="009458A1" w:rsidRDefault="009458A1" w:rsidP="009458A1">
            <w:pPr>
              <w:ind w:left="-309" w:right="51" w:firstLine="3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8A1">
              <w:rPr>
                <w:rFonts w:ascii="Arial" w:hAnsi="Arial" w:cs="Arial"/>
                <w:b/>
                <w:sz w:val="18"/>
                <w:szCs w:val="18"/>
              </w:rPr>
              <w:t>ITENS</w:t>
            </w:r>
          </w:p>
        </w:tc>
        <w:tc>
          <w:tcPr>
            <w:tcW w:w="8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8A1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6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8A1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47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458A1" w:rsidRPr="009458A1" w:rsidRDefault="009458A1" w:rsidP="002123E1">
            <w:pPr>
              <w:ind w:right="51"/>
              <w:rPr>
                <w:rFonts w:ascii="Arial" w:hAnsi="Arial" w:cs="Arial"/>
                <w:b/>
                <w:sz w:val="18"/>
                <w:szCs w:val="18"/>
              </w:rPr>
            </w:pPr>
            <w:r w:rsidRPr="009458A1">
              <w:rPr>
                <w:rFonts w:ascii="Arial" w:hAnsi="Arial" w:cs="Arial"/>
                <w:b/>
                <w:sz w:val="18"/>
                <w:szCs w:val="18"/>
              </w:rPr>
              <w:t>DESCRIÇÃO DO OBJETO</w:t>
            </w:r>
          </w:p>
        </w:tc>
        <w:tc>
          <w:tcPr>
            <w:tcW w:w="18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458A1" w:rsidRPr="009458A1" w:rsidRDefault="009458A1" w:rsidP="009458A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8A1">
              <w:rPr>
                <w:rFonts w:ascii="Arial" w:hAnsi="Arial" w:cs="Arial"/>
                <w:b/>
                <w:sz w:val="18"/>
                <w:szCs w:val="18"/>
              </w:rPr>
              <w:t>VALOR UNIT. – R$</w:t>
            </w:r>
          </w:p>
        </w:tc>
      </w:tr>
      <w:tr w:rsidR="009458A1" w:rsidRPr="009458A1" w:rsidTr="009458A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2" w:type="dxa"/>
            <w:vAlign w:val="center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681" w:type="dxa"/>
            <w:vAlign w:val="center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718" w:type="dxa"/>
            <w:vAlign w:val="center"/>
          </w:tcPr>
          <w:p w:rsidR="009458A1" w:rsidRPr="009458A1" w:rsidRDefault="009458A1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 xml:space="preserve">MÃO DE OBRA HORA/HOMEM PARA MANUTENÇÃO MECÂNICA QUALIFICADA PARA REPAROS E MANUTENÇÕES EM AR CONDICIONADO DE VEICULOS PESADOS E MAQUINAS PESADAS. </w:t>
            </w:r>
          </w:p>
        </w:tc>
        <w:tc>
          <w:tcPr>
            <w:tcW w:w="1840" w:type="dxa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</w:tr>
    </w:tbl>
    <w:p w:rsidR="009458A1" w:rsidRDefault="009458A1" w:rsidP="009458A1">
      <w:pPr>
        <w:pStyle w:val="Corpodetexto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9458A1" w:rsidRPr="00856AB9" w:rsidRDefault="009458A1" w:rsidP="009458A1">
      <w:pPr>
        <w:pStyle w:val="Corpodetexto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 serviços a serem realizados no Lote 09 é referente a manutenção de ar condicionados de Veículos Pesados e maquinas relacionados nos lotes 06 e 07, podendo ser incluído mais veículos das mesmas marcas ou marcas diferentes, durante a vigência da Ata de Registro de Preços.</w:t>
      </w:r>
    </w:p>
    <w:tbl>
      <w:tblPr>
        <w:tblW w:w="9622" w:type="dxa"/>
        <w:tblInd w:w="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722"/>
        <w:gridCol w:w="881"/>
        <w:gridCol w:w="681"/>
        <w:gridCol w:w="4767"/>
        <w:gridCol w:w="1900"/>
      </w:tblGrid>
      <w:tr w:rsidR="009458A1" w:rsidRPr="009458A1" w:rsidTr="009458A1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8A1">
              <w:rPr>
                <w:rFonts w:ascii="Arial" w:hAnsi="Arial" w:cs="Arial"/>
                <w:b/>
                <w:sz w:val="18"/>
                <w:szCs w:val="18"/>
              </w:rPr>
              <w:t>LOTE</w:t>
            </w:r>
          </w:p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8A1">
              <w:rPr>
                <w:rFonts w:ascii="Arial" w:hAnsi="Arial" w:cs="Arial"/>
                <w:b/>
                <w:sz w:val="18"/>
                <w:szCs w:val="18"/>
              </w:rPr>
              <w:t>ITENS</w:t>
            </w:r>
          </w:p>
        </w:tc>
        <w:tc>
          <w:tcPr>
            <w:tcW w:w="8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8A1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6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8A1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47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458A1" w:rsidRPr="009458A1" w:rsidRDefault="009458A1" w:rsidP="002123E1">
            <w:pPr>
              <w:ind w:right="51"/>
              <w:rPr>
                <w:rFonts w:ascii="Arial" w:hAnsi="Arial" w:cs="Arial"/>
                <w:b/>
                <w:sz w:val="18"/>
                <w:szCs w:val="18"/>
              </w:rPr>
            </w:pPr>
            <w:r w:rsidRPr="009458A1">
              <w:rPr>
                <w:rFonts w:ascii="Arial" w:hAnsi="Arial" w:cs="Arial"/>
                <w:b/>
                <w:sz w:val="18"/>
                <w:szCs w:val="18"/>
              </w:rPr>
              <w:t>DESCRIÇÃO DO OBJETO</w:t>
            </w:r>
          </w:p>
        </w:tc>
        <w:tc>
          <w:tcPr>
            <w:tcW w:w="19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458A1" w:rsidRPr="009458A1" w:rsidRDefault="009458A1" w:rsidP="009458A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58A1">
              <w:rPr>
                <w:rFonts w:ascii="Arial" w:hAnsi="Arial" w:cs="Arial"/>
                <w:b/>
                <w:sz w:val="18"/>
                <w:szCs w:val="18"/>
              </w:rPr>
              <w:t>VALOR UNIT. – R$</w:t>
            </w:r>
          </w:p>
        </w:tc>
      </w:tr>
      <w:tr w:rsidR="009458A1" w:rsidRPr="009458A1" w:rsidTr="009458A1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22" w:type="dxa"/>
            <w:vAlign w:val="center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681" w:type="dxa"/>
            <w:vAlign w:val="center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767" w:type="dxa"/>
            <w:vAlign w:val="center"/>
          </w:tcPr>
          <w:p w:rsidR="009458A1" w:rsidRPr="009458A1" w:rsidRDefault="009458A1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 xml:space="preserve">MÃO DE OBRA HORA/HOMEM PARA MANUTENÇÃO MECÂNICA QUALIFICADA PARA REPAROS E MANUTENÇÕES EM AR CONDICIONADO DE VEICULOS LEVES. </w:t>
            </w:r>
          </w:p>
        </w:tc>
        <w:tc>
          <w:tcPr>
            <w:tcW w:w="1900" w:type="dxa"/>
          </w:tcPr>
          <w:p w:rsidR="009458A1" w:rsidRPr="009458A1" w:rsidRDefault="009458A1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58A1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</w:tr>
    </w:tbl>
    <w:p w:rsidR="009458A1" w:rsidRPr="00EE459C" w:rsidRDefault="009458A1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- As quantidades descritas acima são a título estimativo. A retirada será conforme a demanda da administração.</w:t>
      </w: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E459C" w:rsidRDefault="00145556" w:rsidP="00145556">
      <w:pPr>
        <w:pStyle w:val="Corpodetexto"/>
        <w:overflowPunct/>
        <w:autoSpaceDE/>
        <w:autoSpaceDN/>
        <w:adjustRightInd/>
        <w:textAlignment w:val="auto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III - </w:t>
      </w:r>
      <w:r w:rsidRPr="00EE459C">
        <w:rPr>
          <w:rFonts w:ascii="Arial" w:hAnsi="Arial" w:cs="Arial"/>
          <w:b/>
          <w:i/>
          <w:color w:val="000000"/>
          <w:sz w:val="22"/>
          <w:szCs w:val="22"/>
          <w:u w:val="single"/>
        </w:rPr>
        <w:t>EMPRESA VENCEDORA DO LOTE NÃO PODERA TERCEIRIZAR OU REPASSAR NENHUM TIPO DE SERVIÇO PARA EMPRESAS OU OUTRAS PESSOAS FISICAS NÃO REGISTRADAS NA EMPRESA VENCEDORA</w:t>
      </w:r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SEM A AUTORIZAÇÃO DO MUNICIPIO, </w:t>
      </w:r>
      <w:r w:rsidRPr="00EE459C">
        <w:rPr>
          <w:rFonts w:ascii="Arial" w:hAnsi="Arial" w:cs="Arial"/>
          <w:b/>
          <w:i/>
          <w:color w:val="000000"/>
          <w:sz w:val="22"/>
          <w:szCs w:val="22"/>
          <w:u w:val="single"/>
        </w:rPr>
        <w:t>SOB PENA DE PUNIÇÕES E RESCISÃO DA ATA DE REGISTRO DE PREÇOS E/OU CONTRATO.</w:t>
      </w:r>
    </w:p>
    <w:p w:rsidR="00145556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SEGUNDA -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DAS OBRIGAÇÕES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Obriga-se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a: </w:t>
      </w:r>
    </w:p>
    <w:p w:rsidR="00145556" w:rsidRPr="00ED134D" w:rsidRDefault="00145556" w:rsidP="00145556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Responder pelos danos que porventura venha a ocasionar em razão da qualidade dos </w:t>
      </w:r>
      <w:r>
        <w:rPr>
          <w:rFonts w:ascii="Arial" w:hAnsi="Arial" w:cs="Arial"/>
          <w:sz w:val="22"/>
          <w:szCs w:val="22"/>
        </w:rPr>
        <w:t>serviço</w:t>
      </w:r>
      <w:r w:rsidRPr="00ED134D">
        <w:rPr>
          <w:rFonts w:ascii="Arial" w:hAnsi="Arial" w:cs="Arial"/>
          <w:sz w:val="22"/>
          <w:szCs w:val="22"/>
        </w:rPr>
        <w:t>s, sem prejuízo das demais penalidades contratuais e legais;</w:t>
      </w:r>
    </w:p>
    <w:p w:rsidR="00145556" w:rsidRPr="00ED134D" w:rsidRDefault="00145556" w:rsidP="00145556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- Apresentar, sempre que solicitado, documentos que comprovem a procedência dos Serviços fornecidos;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Não subcontratar, ceder ou transferir, total ou parcialmente, o objeto desta Ata.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IV - Manter, durante a vigência do Registro de Preços, todas as condições de habilitação e qualificações exigidas na licitação do Processo Licitatório nº. </w:t>
      </w:r>
      <w:r>
        <w:rPr>
          <w:rFonts w:ascii="Arial" w:hAnsi="Arial" w:cs="Arial"/>
          <w:sz w:val="22"/>
          <w:szCs w:val="22"/>
        </w:rPr>
        <w:t>1780/2021</w:t>
      </w:r>
      <w:r w:rsidRPr="00ED134D">
        <w:rPr>
          <w:rFonts w:ascii="Arial" w:hAnsi="Arial" w:cs="Arial"/>
          <w:sz w:val="22"/>
          <w:szCs w:val="22"/>
        </w:rPr>
        <w:t>.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- Permitir o livre acesso da fiscalização credenciada pelo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ao local de fornecimento dos Serviços.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08169E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VI - </w:t>
      </w:r>
      <w:r>
        <w:rPr>
          <w:rFonts w:ascii="Arial" w:hAnsi="Arial" w:cs="Arial"/>
          <w:sz w:val="22"/>
          <w:szCs w:val="22"/>
        </w:rPr>
        <w:t>A empresa</w:t>
      </w:r>
      <w:r w:rsidRPr="0008169E">
        <w:rPr>
          <w:rFonts w:ascii="Arial" w:hAnsi="Arial" w:cs="Arial"/>
          <w:sz w:val="22"/>
          <w:szCs w:val="22"/>
        </w:rPr>
        <w:t xml:space="preserve"> deverá conceder garantia, em materiais e serviços empregados, no prazo mínimo conforme legislação vigente não podendo ser inferior a 03 (três) meses.</w:t>
      </w:r>
    </w:p>
    <w:p w:rsidR="00145556" w:rsidRPr="0008169E" w:rsidRDefault="00145556" w:rsidP="00145556">
      <w:pPr>
        <w:pStyle w:val="Corpodetexto"/>
        <w:tabs>
          <w:tab w:val="left" w:pos="567"/>
        </w:tabs>
        <w:rPr>
          <w:rFonts w:ascii="Arial" w:hAnsi="Arial" w:cs="Arial"/>
          <w:bCs/>
          <w:sz w:val="22"/>
          <w:szCs w:val="22"/>
        </w:rPr>
      </w:pPr>
    </w:p>
    <w:p w:rsidR="00145556" w:rsidRPr="0008169E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VII - </w:t>
      </w:r>
      <w:r w:rsidRPr="0008169E">
        <w:rPr>
          <w:rFonts w:ascii="Arial" w:hAnsi="Arial" w:cs="Arial"/>
          <w:sz w:val="22"/>
          <w:szCs w:val="22"/>
        </w:rPr>
        <w:t>Havendo a necessidade do acionamento da garantia, de que trata o item anterior, a empresa deverá arcar com todas as despesas, sem ônus para o Município, inclusive viagens.</w:t>
      </w:r>
    </w:p>
    <w:p w:rsidR="00145556" w:rsidRPr="0008169E" w:rsidRDefault="00145556" w:rsidP="00145556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:rsidR="00145556" w:rsidRPr="0008169E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VIII - </w:t>
      </w:r>
      <w:r w:rsidRPr="0008169E">
        <w:rPr>
          <w:rFonts w:ascii="Arial" w:hAnsi="Arial" w:cs="Arial"/>
          <w:sz w:val="22"/>
          <w:szCs w:val="22"/>
        </w:rPr>
        <w:t xml:space="preserve">As máquinas e equipamentos necessários </w:t>
      </w:r>
      <w:r>
        <w:rPr>
          <w:rFonts w:ascii="Arial" w:hAnsi="Arial" w:cs="Arial"/>
          <w:sz w:val="22"/>
          <w:szCs w:val="22"/>
        </w:rPr>
        <w:t>a</w:t>
      </w:r>
      <w:r w:rsidRPr="0008169E">
        <w:rPr>
          <w:rFonts w:ascii="Arial" w:hAnsi="Arial" w:cs="Arial"/>
          <w:sz w:val="22"/>
          <w:szCs w:val="22"/>
        </w:rPr>
        <w:t xml:space="preserve"> execução dos serviços, bem como pessoal qualificado serão</w:t>
      </w:r>
      <w:r>
        <w:rPr>
          <w:rFonts w:ascii="Arial" w:hAnsi="Arial" w:cs="Arial"/>
          <w:sz w:val="22"/>
          <w:szCs w:val="22"/>
        </w:rPr>
        <w:t xml:space="preserve"> de responsabilidade da empresa.</w:t>
      </w:r>
    </w:p>
    <w:p w:rsidR="00145556" w:rsidRPr="0008169E" w:rsidRDefault="00145556" w:rsidP="00145556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:rsidR="00145556" w:rsidRPr="0008169E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IX - </w:t>
      </w:r>
      <w:r w:rsidRPr="0008169E">
        <w:rPr>
          <w:rFonts w:ascii="Arial" w:hAnsi="Arial" w:cs="Arial"/>
          <w:sz w:val="22"/>
          <w:szCs w:val="22"/>
        </w:rPr>
        <w:t>A empresa deverá realizar os serviços de socorro, sempre que possível, no local onde estiver a referida máquina/veículo danificada, sendo que na execução dos serviços os preços serão aqueles oferecidos pela proposta, e nesses valores da hora já devem estar inclusas as despesas com deslocamento técnico para efetuar atendimento do serviço no local solicitado.</w:t>
      </w:r>
    </w:p>
    <w:p w:rsidR="00145556" w:rsidRPr="0008169E" w:rsidRDefault="00145556" w:rsidP="00145556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:rsidR="00145556" w:rsidRPr="0008169E" w:rsidRDefault="00145556" w:rsidP="00145556">
      <w:pPr>
        <w:pStyle w:val="Corpodetexto"/>
        <w:numPr>
          <w:ilvl w:val="1"/>
          <w:numId w:val="1"/>
        </w:numPr>
        <w:tabs>
          <w:tab w:val="left" w:pos="567"/>
        </w:tabs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- </w:t>
      </w:r>
      <w:r w:rsidRPr="0008169E">
        <w:rPr>
          <w:rFonts w:ascii="Arial" w:hAnsi="Arial" w:cs="Arial"/>
          <w:sz w:val="22"/>
          <w:szCs w:val="22"/>
        </w:rPr>
        <w:t>A empresa deverá dar prioridade às máquinas da Prefeitura Municipal, inclusive, se necessário, prestar o serviço aos sábados, considerando que o serviço público não pode parar, por falta de manutenção. A empresa terá o prazo máximo de 24 (vinte e quatro) horas para atender ao chamado do Serviço de Frotas</w:t>
      </w:r>
      <w:r>
        <w:rPr>
          <w:rFonts w:ascii="Arial" w:hAnsi="Arial" w:cs="Arial"/>
          <w:sz w:val="22"/>
          <w:szCs w:val="22"/>
        </w:rPr>
        <w:t>, e se possível resolver o problema imediatamente ou no máximo em 05 dias</w:t>
      </w:r>
      <w:r w:rsidRPr="0008169E">
        <w:rPr>
          <w:rFonts w:ascii="Arial" w:hAnsi="Arial" w:cs="Arial"/>
          <w:sz w:val="22"/>
          <w:szCs w:val="22"/>
        </w:rPr>
        <w:t>, sendo possível a prorrogação mediante autorização do Município.</w:t>
      </w:r>
    </w:p>
    <w:p w:rsidR="00145556" w:rsidRPr="0008169E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 - A empresa responsável pelos</w:t>
      </w:r>
      <w:r w:rsidRPr="0008169E">
        <w:rPr>
          <w:rFonts w:ascii="Arial" w:hAnsi="Arial" w:cs="Arial"/>
          <w:sz w:val="22"/>
          <w:szCs w:val="22"/>
        </w:rPr>
        <w:t xml:space="preserve"> serviços de mão de obra deverá fornecer ao município, sempre que necessário, a relação de peças necessárias para realização da manutenção/conserto com o código da peça do fabricante para que o Município faça a aquisição e encaminhe está para a realização dos serviços.</w:t>
      </w:r>
    </w:p>
    <w:p w:rsidR="00145556" w:rsidRPr="0008169E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XII - </w:t>
      </w:r>
      <w:r w:rsidRPr="0008169E">
        <w:rPr>
          <w:rFonts w:ascii="Arial" w:hAnsi="Arial" w:cs="Arial"/>
          <w:sz w:val="22"/>
          <w:szCs w:val="22"/>
        </w:rPr>
        <w:t>A empresa poderá fornecer as peças necessárias para o conserto/manutenção, desde que comprovado o preço de mercado e emitida autorização prévia de compras do Município.</w:t>
      </w:r>
    </w:p>
    <w:p w:rsidR="009458A1" w:rsidRPr="0008169E" w:rsidRDefault="009458A1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TERCEIRA – DAS OBRIGAÇÕES DO MUNICÍPIO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Prestar os esclarecimentos que venham a ser solicitados pela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>;</w:t>
      </w:r>
    </w:p>
    <w:p w:rsidR="00145556" w:rsidRPr="00ED134D" w:rsidRDefault="00145556" w:rsidP="00145556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Fornecer à licitante, todas as informações relacionadas com o objeto do presente Ata;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B</w:t>
      </w:r>
      <w:r w:rsidRPr="00ED134D">
        <w:rPr>
          <w:rFonts w:ascii="Arial" w:hAnsi="Arial" w:cs="Arial"/>
          <w:sz w:val="22"/>
          <w:szCs w:val="22"/>
        </w:rPr>
        <w:t xml:space="preserve"> – Acompanhar e fiscalizar, através de servidor designado pela Administração, o cumprimento do contrato a ser assinado com a licitante vencedora, anotando em registro próprio as falhas detectadas e comunicando as ocorrências de quaisquer fatos que, a seu critério, exijam medidas corretivas por parte da licitante vencedora;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Efetuar o pagamento à licitante vencedora, na forma e prazos estabelecidos nesta Ata, procedendo-se à retenção dos tributos devidos, consoante a legislação vigente;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Zelar para que sejam cumpridas as obrigações assumidas pela licitante vencedora, bem como sejam mantidas todas as condições de habilitação e qualificação exigidas na licitação;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45556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QUARTA – DA FISCALIZAÇÃO DO CONTRATO</w:t>
      </w:r>
    </w:p>
    <w:p w:rsidR="00145556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O Município promoverá, através de expert, a fiscalização do </w:t>
      </w:r>
      <w:r>
        <w:rPr>
          <w:rFonts w:ascii="Arial" w:hAnsi="Arial" w:cs="Arial"/>
          <w:sz w:val="22"/>
          <w:szCs w:val="22"/>
        </w:rPr>
        <w:t>serviço</w:t>
      </w:r>
      <w:r w:rsidRPr="00ED134D">
        <w:rPr>
          <w:rFonts w:ascii="Arial" w:hAnsi="Arial" w:cs="Arial"/>
          <w:sz w:val="22"/>
          <w:szCs w:val="22"/>
        </w:rPr>
        <w:t xml:space="preserve"> entregue (não necessariamente na entrega), e em caso de se observar que o </w:t>
      </w:r>
      <w:r>
        <w:rPr>
          <w:rFonts w:ascii="Arial" w:hAnsi="Arial" w:cs="Arial"/>
          <w:sz w:val="22"/>
          <w:szCs w:val="22"/>
        </w:rPr>
        <w:t>serviço</w:t>
      </w:r>
      <w:r w:rsidRPr="00ED134D">
        <w:rPr>
          <w:rFonts w:ascii="Arial" w:hAnsi="Arial" w:cs="Arial"/>
          <w:sz w:val="22"/>
          <w:szCs w:val="22"/>
        </w:rPr>
        <w:t xml:space="preserve"> é de qualidade duvidosa, atestado por expert, sob pena de rescisão de contrato.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- </w:t>
      </w:r>
      <w:r>
        <w:rPr>
          <w:rFonts w:ascii="Arial" w:hAnsi="Arial" w:cs="Arial"/>
          <w:spacing w:val="-3"/>
          <w:sz w:val="22"/>
          <w:szCs w:val="22"/>
        </w:rPr>
        <w:t>Fica Com responsável sobre a fiscalização da Entrega e qualidade dos Serviços os seguintes Funcionários:</w:t>
      </w:r>
    </w:p>
    <w:p w:rsidR="00145556" w:rsidRDefault="00145556" w:rsidP="00145556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Secretario de </w:t>
      </w:r>
      <w:proofErr w:type="gramStart"/>
      <w:r>
        <w:rPr>
          <w:rFonts w:ascii="Arial" w:hAnsi="Arial" w:cs="Arial"/>
          <w:b/>
          <w:spacing w:val="-3"/>
          <w:sz w:val="22"/>
          <w:szCs w:val="22"/>
        </w:rPr>
        <w:t>Infra – Estrutura</w:t>
      </w:r>
      <w:proofErr w:type="gramEnd"/>
      <w:r>
        <w:rPr>
          <w:rFonts w:ascii="Arial" w:hAnsi="Arial" w:cs="Arial"/>
          <w:b/>
          <w:spacing w:val="-3"/>
          <w:sz w:val="22"/>
          <w:szCs w:val="22"/>
        </w:rPr>
        <w:t xml:space="preserve"> e Transporte -  Rogerio Perin</w:t>
      </w:r>
    </w:p>
    <w:p w:rsidR="00145556" w:rsidRDefault="00145556" w:rsidP="00145556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Secretaria de Educação: Leandro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Neuhaus</w:t>
      </w:r>
      <w:proofErr w:type="spellEnd"/>
    </w:p>
    <w:p w:rsidR="00145556" w:rsidRDefault="00145556" w:rsidP="00145556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Secretaria de Agricultura: Renato Perin</w:t>
      </w:r>
    </w:p>
    <w:p w:rsidR="00145556" w:rsidRDefault="00145556" w:rsidP="00145556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lastRenderedPageBreak/>
        <w:t>Secretaria da Saúde – Maristela Valer</w:t>
      </w:r>
    </w:p>
    <w:p w:rsidR="00145556" w:rsidRDefault="00145556" w:rsidP="00145556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Secretaria de Assistência Social – Aline Mara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Engel</w:t>
      </w:r>
      <w:proofErr w:type="spellEnd"/>
    </w:p>
    <w:p w:rsidR="00145556" w:rsidRPr="00C914F1" w:rsidRDefault="00145556" w:rsidP="00145556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Gabinete do Prefeito –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Jovir</w:t>
      </w:r>
      <w:proofErr w:type="spellEnd"/>
      <w:r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Antonio</w:t>
      </w:r>
      <w:proofErr w:type="spellEnd"/>
      <w:r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Zanuzzo</w:t>
      </w:r>
      <w:proofErr w:type="spellEnd"/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III - O gestor desta Ata, sempre que considerar necessário, poderá exigir a análise dos </w:t>
      </w:r>
      <w:r>
        <w:rPr>
          <w:rFonts w:ascii="Arial" w:hAnsi="Arial" w:cs="Arial"/>
          <w:sz w:val="22"/>
          <w:szCs w:val="22"/>
        </w:rPr>
        <w:t>serviço</w:t>
      </w:r>
      <w:r w:rsidRPr="00ED134D">
        <w:rPr>
          <w:rFonts w:ascii="Arial" w:hAnsi="Arial" w:cs="Arial"/>
          <w:sz w:val="22"/>
          <w:szCs w:val="22"/>
        </w:rPr>
        <w:t xml:space="preserve">s para a verificação de sua qualidade, que deverá estar dentro dos padrões legais exigidos, sob pena de aplicação das sanções previstas. </w:t>
      </w: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08169E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IV - </w:t>
      </w:r>
      <w:r w:rsidRPr="0008169E">
        <w:rPr>
          <w:rFonts w:ascii="Arial" w:eastAsia="MS Mincho" w:hAnsi="Arial" w:cs="Arial"/>
          <w:sz w:val="22"/>
          <w:szCs w:val="22"/>
        </w:rPr>
        <w:t>Por ocasião do recebimento dos serviços, o órgão requisitante, por intermédio de seu secretário ou servidor designado, reserva-se no direito de proceder à inspeção de qualidade dos mesmos e de rejeitá-los, no todo ou em parte, se estiverem em desacordo com as especificações técnicas do objeto licitado, estando a proponente vencedora obrigada a promover a devida regularização, observando-se os prazos contratuais.</w:t>
      </w:r>
    </w:p>
    <w:p w:rsidR="00145556" w:rsidRPr="0008169E" w:rsidRDefault="00145556" w:rsidP="00145556">
      <w:pPr>
        <w:pStyle w:val="PargrafodaLista"/>
        <w:ind w:left="0"/>
        <w:rPr>
          <w:rFonts w:ascii="Arial" w:eastAsia="MS Mincho" w:hAnsi="Arial" w:cs="Arial"/>
          <w:sz w:val="22"/>
          <w:szCs w:val="22"/>
        </w:rPr>
      </w:pPr>
    </w:p>
    <w:p w:rsidR="00145556" w:rsidRPr="0008169E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V - </w:t>
      </w:r>
      <w:r w:rsidRPr="0008169E">
        <w:rPr>
          <w:rFonts w:ascii="Arial" w:eastAsia="MS Mincho" w:hAnsi="Arial" w:cs="Arial"/>
          <w:sz w:val="22"/>
          <w:szCs w:val="22"/>
        </w:rPr>
        <w:t>O aceite dos serviços não exclui a responsabilidade civil do fornecedor por vícios de quantidade, de qualidade ou técnico, ou por desacordo com as especificações estabelecidas neste Edital, verificadas posteriormente</w:t>
      </w:r>
      <w:r w:rsidRPr="0008169E">
        <w:rPr>
          <w:rFonts w:ascii="Arial" w:hAnsi="Arial" w:cs="Arial"/>
          <w:sz w:val="22"/>
          <w:szCs w:val="22"/>
        </w:rPr>
        <w:t>.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45556" w:rsidRPr="00ED134D" w:rsidRDefault="00145556" w:rsidP="00145556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QUINTA - DO PREÇO E DO PAGAMENTO</w:t>
      </w:r>
    </w:p>
    <w:p w:rsidR="00145556" w:rsidRDefault="00145556" w:rsidP="00145556">
      <w:pPr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I - </w:t>
      </w:r>
      <w:r w:rsidRPr="0008169E">
        <w:rPr>
          <w:rFonts w:ascii="Arial" w:eastAsia="MS Mincho" w:hAnsi="Arial" w:cs="Arial"/>
          <w:sz w:val="22"/>
          <w:szCs w:val="22"/>
        </w:rPr>
        <w:t>Pelos serviços, o Município pagará à empresa vencedora a soma das horas/trabalhadas, que serão verificadas pelo secretário de cada secretaria ou por servidor público responsável designado, na proporção da quantidade consumida, mediante a apresentação da nota fiscal (desde que conferida e aceita).</w:t>
      </w:r>
    </w:p>
    <w:p w:rsidR="00145556" w:rsidRPr="0008169E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Pr="00ED134D">
        <w:rPr>
          <w:rFonts w:ascii="Arial" w:hAnsi="Arial" w:cs="Arial"/>
          <w:sz w:val="22"/>
          <w:szCs w:val="22"/>
        </w:rPr>
        <w:t xml:space="preserve"> – O pagamento dos Serviços será efetuado com prazo </w:t>
      </w:r>
      <w:proofErr w:type="spellStart"/>
      <w:r w:rsidRPr="00ED134D">
        <w:rPr>
          <w:rFonts w:ascii="Arial" w:hAnsi="Arial" w:cs="Arial"/>
          <w:sz w:val="22"/>
          <w:szCs w:val="22"/>
        </w:rPr>
        <w:t>Maximo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 de 15 dias após a emissão da Ordem de Compra, mediante apresentação da respectiva Nota Fiscal, do qual será efetuado através de cheque nominal ou ordem bancária.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>I</w:t>
      </w:r>
      <w:r w:rsidRPr="00ED134D">
        <w:rPr>
          <w:rFonts w:ascii="Arial" w:hAnsi="Arial" w:cs="Arial"/>
          <w:sz w:val="22"/>
          <w:szCs w:val="22"/>
        </w:rPr>
        <w:t xml:space="preserve"> – Se a nota fiscal, for apresentada com erro, será devolvida ao fornecedor para retificação e reapresentação, acrescentando-se no prazo fixado no item acima, os dias que se passarem entre a data da devolução e a da reapresentação;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SEXTA - DO REAJUSTE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bCs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I - </w:t>
      </w:r>
      <w:r w:rsidRPr="00E07BDD">
        <w:rPr>
          <w:rFonts w:ascii="Arial" w:hAnsi="Arial" w:cs="Arial"/>
          <w:sz w:val="22"/>
          <w:szCs w:val="22"/>
        </w:rPr>
        <w:t>Não haverá reajuste, no prazo de validade do presente registro nem atualização dos valores, exceto na ocorrência de fato que justifique a aplicação da línea “d”, do inciso II, do artigo 65, da Lei 8.666/93.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</w:rPr>
      </w:pPr>
    </w:p>
    <w:p w:rsidR="00145556" w:rsidRPr="00ED134D" w:rsidRDefault="00145556" w:rsidP="00145556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SÉTIMA - DA DOTAÇÃO ORÇAMENTÁRIA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As despesas oriundas d</w:t>
      </w:r>
      <w:r>
        <w:rPr>
          <w:rFonts w:ascii="Arial" w:hAnsi="Arial" w:cs="Arial"/>
          <w:sz w:val="22"/>
          <w:szCs w:val="22"/>
        </w:rPr>
        <w:t xml:space="preserve">este Registro de Preços, </w:t>
      </w:r>
      <w:r w:rsidRPr="00ED134D">
        <w:rPr>
          <w:rFonts w:ascii="Arial" w:hAnsi="Arial" w:cs="Arial"/>
          <w:sz w:val="22"/>
          <w:szCs w:val="22"/>
        </w:rPr>
        <w:t>correrão à conta da Classificação da</w:t>
      </w:r>
      <w:r>
        <w:rPr>
          <w:rFonts w:ascii="Arial" w:hAnsi="Arial" w:cs="Arial"/>
          <w:sz w:val="22"/>
          <w:szCs w:val="22"/>
        </w:rPr>
        <w:t>s</w:t>
      </w:r>
      <w:r w:rsidRPr="00ED134D">
        <w:rPr>
          <w:rFonts w:ascii="Arial" w:hAnsi="Arial" w:cs="Arial"/>
          <w:sz w:val="22"/>
          <w:szCs w:val="22"/>
        </w:rPr>
        <w:t xml:space="preserve"> Despesa</w:t>
      </w:r>
      <w:r>
        <w:rPr>
          <w:rFonts w:ascii="Arial" w:hAnsi="Arial" w:cs="Arial"/>
          <w:sz w:val="22"/>
          <w:szCs w:val="22"/>
        </w:rPr>
        <w:t>s de 2021 e 2022.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OITAVA – DA VIGÊNCIA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A presente Ata de Registro de Preços terá a vigência de </w:t>
      </w:r>
      <w:r>
        <w:rPr>
          <w:rFonts w:ascii="Arial" w:hAnsi="Arial" w:cs="Arial"/>
          <w:sz w:val="22"/>
          <w:szCs w:val="22"/>
        </w:rPr>
        <w:t>12</w:t>
      </w:r>
      <w:r w:rsidRPr="00ED13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meses</w:t>
      </w:r>
      <w:r w:rsidRPr="00ED134D">
        <w:rPr>
          <w:rFonts w:ascii="Arial" w:hAnsi="Arial" w:cs="Arial"/>
          <w:sz w:val="22"/>
          <w:szCs w:val="22"/>
        </w:rPr>
        <w:t>, a contar a partir do dia da sua assinatura.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NONA – RECISÃO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poderá ter seu registro cancelado: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 xml:space="preserve">I – A inexecução total ou parcial dos serviços a ser contratado, o Município assegurará o direito de rescisão nos termos do art. </w:t>
      </w:r>
      <w:smartTag w:uri="urn:schemas-microsoft-com:office:smarttags" w:element="metricconverter">
        <w:smartTagPr>
          <w:attr w:name="ProductID" w:val="77 a"/>
        </w:smartTagPr>
        <w:r w:rsidRPr="00ED134D">
          <w:rPr>
            <w:rFonts w:ascii="Arial" w:hAnsi="Arial" w:cs="Arial"/>
            <w:sz w:val="22"/>
            <w:szCs w:val="22"/>
          </w:rPr>
          <w:t>77 a</w:t>
        </w:r>
      </w:smartTag>
      <w:r w:rsidRPr="00ED134D">
        <w:rPr>
          <w:rFonts w:ascii="Arial" w:hAnsi="Arial" w:cs="Arial"/>
          <w:sz w:val="22"/>
          <w:szCs w:val="22"/>
        </w:rPr>
        <w:t xml:space="preserve"> 80 da Lei Federal nº 8.666 de 21 de junho de 1993, assegurado o contraditório e a ampla defesa, sempre m</w:t>
      </w:r>
      <w:r w:rsidR="009458A1">
        <w:rPr>
          <w:rFonts w:ascii="Arial" w:hAnsi="Arial" w:cs="Arial"/>
          <w:sz w:val="22"/>
          <w:szCs w:val="22"/>
        </w:rPr>
        <w:t>ediante notificação por escrito.</w:t>
      </w:r>
    </w:p>
    <w:p w:rsidR="009458A1" w:rsidRDefault="009458A1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A rescisão do Contrato, nos termos do art. 79 da Lei Federal nº. 8.666 de 21 de junho de 1993 poderá ser:</w:t>
      </w:r>
    </w:p>
    <w:p w:rsidR="009458A1" w:rsidRDefault="009458A1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pStyle w:val="Corpodetexto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Determinada por ato unilateral e escrito da Administração, nos casos enumerados nos incisos I a XII e XVII do artigo 78 da Lei Federal nº 8.666 de 21 de junho de 1993;</w:t>
      </w:r>
    </w:p>
    <w:p w:rsidR="009458A1" w:rsidRDefault="009458A1" w:rsidP="00145556">
      <w:pPr>
        <w:pStyle w:val="Corpodetexto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IV– Amigável, por acordo entre as partes, mediante autorização escrita e fundamentada da autoridade competente, reduzida a termo no processo licitatório, desde que haja conveniência da Administração;</w:t>
      </w:r>
    </w:p>
    <w:p w:rsidR="009458A1" w:rsidRDefault="009458A1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 – Judicial, nos termos da legislação.</w:t>
      </w:r>
    </w:p>
    <w:p w:rsidR="009458A1" w:rsidRDefault="009458A1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VI – Em caso de rescisão prevista nos incisos XII a XVII do artigo 78 da Lei Federal nº 8.666 de 21 de junho de 1993 e suas alterações posteriores, sem que haja culpa da proponente vencedora, será esta ressarcida dos prejuízos regulamentares comprovados, quando os houver sofrido.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- DAS PENALIDADES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De conformidade com o art. 86, da Lei Federal nº 8.666 de 21 de junho de 1993, o atraso injustificado na entrega dos </w:t>
      </w:r>
      <w:r>
        <w:rPr>
          <w:rFonts w:ascii="Arial" w:hAnsi="Arial" w:cs="Arial"/>
          <w:sz w:val="22"/>
          <w:szCs w:val="22"/>
        </w:rPr>
        <w:t>serviço</w:t>
      </w:r>
      <w:r w:rsidRPr="00ED134D">
        <w:rPr>
          <w:rFonts w:ascii="Arial" w:hAnsi="Arial" w:cs="Arial"/>
          <w:sz w:val="22"/>
          <w:szCs w:val="22"/>
        </w:rPr>
        <w:t>s sujeitará a empresa, a juízo da Administração, à multa de até 2% (dois por cento), do valor da aquisição, até 30 (trinta) dias, após este prazo será cobrado juro de 1% (um por cento) ao mês;</w:t>
      </w: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multa prevista no item “I” será descontada dos créditos que a contratada </w:t>
      </w:r>
      <w:r w:rsidRPr="00ED134D">
        <w:rPr>
          <w:rFonts w:ascii="Arial" w:hAnsi="Arial" w:cs="Arial"/>
          <w:sz w:val="22"/>
          <w:szCs w:val="22"/>
        </w:rPr>
        <w:tab/>
        <w:t>possuir com o Município, e poderá acumular com as demais sanções administrativas, inclusive com a multa prevista no item 19.2, alínea “b”;</w:t>
      </w:r>
    </w:p>
    <w:p w:rsidR="009458A1" w:rsidRDefault="009458A1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Nos termos do artigo 87 da Lei Federal nº 8.666 de 21 de junho de 1993, pela inexecução total ou parcial na entrega do objeto licitado a Administração poderá aplicar aos fornecedores, as seguintes penalidades: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Advertência por escrito;</w:t>
      </w:r>
    </w:p>
    <w:p w:rsidR="009458A1" w:rsidRDefault="009458A1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B </w:t>
      </w:r>
      <w:r w:rsidRPr="00ED134D">
        <w:rPr>
          <w:rFonts w:ascii="Arial" w:hAnsi="Arial" w:cs="Arial"/>
          <w:sz w:val="22"/>
          <w:szCs w:val="22"/>
        </w:rPr>
        <w:t>– Aplicação de multa de 2 % (dois por cento) sobre o valor total da contratação efetuada, pela inexecução das obrigações constantes deste Instrumento;</w:t>
      </w:r>
    </w:p>
    <w:p w:rsidR="009458A1" w:rsidRDefault="009458A1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Suspensão temporária de participação em licitação e impedimento de contratar com o Município, por prazo não superior a 02 (dois) anos;</w:t>
      </w:r>
    </w:p>
    <w:p w:rsidR="009458A1" w:rsidRDefault="009458A1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ED134D">
        <w:rPr>
          <w:rFonts w:ascii="Arial" w:hAnsi="Arial" w:cs="Arial"/>
          <w:sz w:val="22"/>
          <w:szCs w:val="22"/>
        </w:rPr>
        <w:t>declaração</w:t>
      </w:r>
      <w:proofErr w:type="gramEnd"/>
      <w:r w:rsidRPr="00ED134D">
        <w:rPr>
          <w:rFonts w:ascii="Arial" w:hAnsi="Arial" w:cs="Arial"/>
          <w:sz w:val="22"/>
          <w:szCs w:val="22"/>
        </w:rPr>
        <w:t xml:space="preserve"> de inidoneidade para licitar junto à Administração Pública, enquanto perdurarem os motivos determinantes da punição, ou até que seja promovida a reabilitação perante a própria autoridade que aplicou a penalidade, de acordo com o inciso IV do art. 87 da Lei Federal nº 8.666 de 21 de junho de 1993;</w:t>
      </w: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 – Se a contratada não proceder ao recolhimento da multa no prazo estipulado o respectivo valor será descontado dos créditos que a contratada possuir com este, e, se estes não forem suficientes, o valor que sobejar será encaminhado para execução pela Assessoria Jurídica.</w:t>
      </w: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>V – Do ato qu</w:t>
      </w:r>
      <w:bookmarkStart w:id="0" w:name="_GoBack"/>
      <w:bookmarkEnd w:id="0"/>
      <w:r w:rsidRPr="00ED134D">
        <w:rPr>
          <w:rFonts w:ascii="Arial" w:hAnsi="Arial" w:cs="Arial"/>
          <w:sz w:val="22"/>
          <w:szCs w:val="22"/>
        </w:rPr>
        <w:t xml:space="preserve">e aplicar a penalidade caberá recurso, no prazo de 05 (cinco) dias úteis, a contar da ciência da intimação, podendo a Administração reconsiderar sua decisão ou nesse prazo encaminhá-lo devidamente </w:t>
      </w:r>
      <w:proofErr w:type="spellStart"/>
      <w:r w:rsidRPr="00ED134D">
        <w:rPr>
          <w:rFonts w:ascii="Arial" w:hAnsi="Arial" w:cs="Arial"/>
          <w:sz w:val="22"/>
          <w:szCs w:val="22"/>
        </w:rPr>
        <w:t>informado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 para a apreciação e decisão superior, dentro do mesmo prazo.</w:t>
      </w: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DÉCIMA PRIMEIRA - DO FORO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Para dirimir quaisquer dúvidas ou questões relacionadas com a presente licitação, fica eleito o Foro da Comarca de Maravilha, com exclusão de qualquer outro, por mais privilegiado que seja.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SEGUNDA - DAS DISPOSIÇÕES FINAIS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é responsável pela fidelidade e legitimidade das informações, dos documentos e propostas apresentados em qualquer época ou fase da licitação e da ata;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fica obriga a aceitar nas mesmas condições contratuais, os acréscimos ou supressões que se fizerem necessários nas quantidades dos </w:t>
      </w:r>
      <w:r>
        <w:rPr>
          <w:rFonts w:ascii="Arial" w:hAnsi="Arial" w:cs="Arial"/>
          <w:sz w:val="22"/>
          <w:szCs w:val="22"/>
        </w:rPr>
        <w:t>serviço</w:t>
      </w:r>
      <w:r w:rsidRPr="00ED134D">
        <w:rPr>
          <w:rFonts w:ascii="Arial" w:hAnsi="Arial" w:cs="Arial"/>
          <w:sz w:val="22"/>
          <w:szCs w:val="22"/>
        </w:rPr>
        <w:t>s, até 25% (vinte e cinco por cento) do valor do contrato, na forma do artigo 65, § 1º, da Lei Federal nº. 8.666 de 21 de junho de 1993;</w:t>
      </w: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Flor do Sertão – SC, aos</w:t>
      </w:r>
      <w:r>
        <w:rPr>
          <w:rFonts w:ascii="Arial" w:hAnsi="Arial" w:cs="Arial"/>
          <w:sz w:val="22"/>
          <w:szCs w:val="22"/>
        </w:rPr>
        <w:t xml:space="preserve"> 20</w:t>
      </w:r>
      <w:r w:rsidRPr="00ED134D">
        <w:rPr>
          <w:rFonts w:ascii="Arial" w:hAnsi="Arial" w:cs="Arial"/>
          <w:sz w:val="22"/>
          <w:szCs w:val="22"/>
        </w:rPr>
        <w:t xml:space="preserve"> dias do mês de </w:t>
      </w:r>
      <w:r>
        <w:rPr>
          <w:rFonts w:ascii="Arial" w:hAnsi="Arial" w:cs="Arial"/>
          <w:sz w:val="22"/>
          <w:szCs w:val="22"/>
        </w:rPr>
        <w:t>outubro</w:t>
      </w:r>
      <w:r w:rsidRPr="00ED134D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21</w:t>
      </w:r>
      <w:r w:rsidRPr="00ED134D">
        <w:rPr>
          <w:rFonts w:ascii="Arial" w:hAnsi="Arial" w:cs="Arial"/>
          <w:sz w:val="22"/>
          <w:szCs w:val="22"/>
        </w:rPr>
        <w:t>.</w:t>
      </w:r>
    </w:p>
    <w:p w:rsidR="00145556" w:rsidRPr="00ED134D" w:rsidRDefault="00145556" w:rsidP="00145556">
      <w:pPr>
        <w:jc w:val="both"/>
        <w:rPr>
          <w:rFonts w:ascii="Arial" w:hAnsi="Arial" w:cs="Arial"/>
          <w:bCs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Cs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Cs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145556" w:rsidRPr="00ED134D" w:rsidTr="002123E1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145556" w:rsidRPr="00ED134D" w:rsidRDefault="00145556" w:rsidP="002123E1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SIDNEI JOSE WILLINGHÖFER</w:t>
            </w:r>
          </w:p>
        </w:tc>
        <w:tc>
          <w:tcPr>
            <w:tcW w:w="1134" w:type="dxa"/>
          </w:tcPr>
          <w:p w:rsidR="00145556" w:rsidRPr="00ED134D" w:rsidRDefault="00145556" w:rsidP="002123E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45556" w:rsidRPr="00ED134D" w:rsidRDefault="00145556" w:rsidP="002123E1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LUCAS DE MARCO</w:t>
            </w:r>
          </w:p>
        </w:tc>
      </w:tr>
      <w:tr w:rsidR="00145556" w:rsidRPr="00ED134D" w:rsidTr="002123E1">
        <w:trPr>
          <w:trHeight w:val="210"/>
          <w:jc w:val="center"/>
        </w:trPr>
        <w:tc>
          <w:tcPr>
            <w:tcW w:w="4820" w:type="dxa"/>
          </w:tcPr>
          <w:p w:rsidR="00145556" w:rsidRPr="00ED134D" w:rsidRDefault="00145556" w:rsidP="002123E1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503.319.819-04</w:t>
            </w:r>
          </w:p>
        </w:tc>
        <w:tc>
          <w:tcPr>
            <w:tcW w:w="1134" w:type="dxa"/>
          </w:tcPr>
          <w:p w:rsidR="00145556" w:rsidRPr="00ED134D" w:rsidRDefault="00145556" w:rsidP="002123E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145556" w:rsidRPr="00ED134D" w:rsidRDefault="00145556" w:rsidP="002123E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sz w:val="22"/>
                <w:szCs w:val="22"/>
              </w:rPr>
              <w:t>044.488.499-88</w:t>
            </w:r>
          </w:p>
        </w:tc>
      </w:tr>
      <w:tr w:rsidR="00145556" w:rsidRPr="00ED134D" w:rsidTr="002123E1">
        <w:trPr>
          <w:trHeight w:val="210"/>
          <w:jc w:val="center"/>
        </w:trPr>
        <w:tc>
          <w:tcPr>
            <w:tcW w:w="4820" w:type="dxa"/>
          </w:tcPr>
          <w:p w:rsidR="00145556" w:rsidRPr="00ED134D" w:rsidRDefault="00145556" w:rsidP="00212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1134" w:type="dxa"/>
          </w:tcPr>
          <w:p w:rsidR="00145556" w:rsidRPr="00ED134D" w:rsidRDefault="00145556" w:rsidP="002123E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145556" w:rsidRPr="00ED134D" w:rsidRDefault="00145556" w:rsidP="00212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</w:tbl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145556" w:rsidRPr="00ED134D" w:rsidTr="002123E1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145556" w:rsidRPr="00ED134D" w:rsidRDefault="00145556" w:rsidP="002123E1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ED134D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145556" w:rsidRPr="00ED134D" w:rsidRDefault="00145556" w:rsidP="002123E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145556" w:rsidRPr="00ED134D" w:rsidRDefault="00145556" w:rsidP="002123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</w:tr>
      <w:tr w:rsidR="00145556" w:rsidRPr="00ED134D" w:rsidTr="002123E1">
        <w:trPr>
          <w:jc w:val="center"/>
        </w:trPr>
        <w:tc>
          <w:tcPr>
            <w:tcW w:w="4756" w:type="dxa"/>
          </w:tcPr>
          <w:p w:rsidR="00145556" w:rsidRPr="00ED134D" w:rsidRDefault="00145556" w:rsidP="002123E1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145556" w:rsidRPr="00ED134D" w:rsidRDefault="00145556" w:rsidP="002123E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145556" w:rsidRPr="00ED134D" w:rsidRDefault="00145556" w:rsidP="00212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145556" w:rsidRDefault="00145556" w:rsidP="00145556"/>
    <w:p w:rsidR="00E529D0" w:rsidRDefault="00E529D0"/>
    <w:sectPr w:rsidR="00E529D0" w:rsidSect="00145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27" w:right="1134" w:bottom="851" w:left="1134" w:header="720" w:footer="81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B41" w:rsidRDefault="00C40B41">
      <w:r>
        <w:separator/>
      </w:r>
    </w:p>
  </w:endnote>
  <w:endnote w:type="continuationSeparator" w:id="0">
    <w:p w:rsidR="00C40B41" w:rsidRDefault="00C4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BD" w:rsidRDefault="00145556" w:rsidP="005422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50BD" w:rsidRDefault="00C40B41" w:rsidP="0054226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BD" w:rsidRDefault="00145556" w:rsidP="00542265">
    <w:pPr>
      <w:pStyle w:val="Rodap"/>
      <w:tabs>
        <w:tab w:val="clear" w:pos="8838"/>
        <w:tab w:val="right" w:pos="8222"/>
      </w:tabs>
      <w:ind w:right="360"/>
      <w:jc w:val="both"/>
      <w:rPr>
        <w:rFonts w:ascii="Arial" w:hAnsi="Arial"/>
        <w:sz w:val="12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-716915</wp:posOffset>
          </wp:positionH>
          <wp:positionV relativeFrom="margin">
            <wp:posOffset>8355330</wp:posOffset>
          </wp:positionV>
          <wp:extent cx="7743825" cy="99060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BD" w:rsidRDefault="00145556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-716915</wp:posOffset>
          </wp:positionH>
          <wp:positionV relativeFrom="margin">
            <wp:posOffset>8355330</wp:posOffset>
          </wp:positionV>
          <wp:extent cx="7743825" cy="9906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B41" w:rsidRDefault="00C40B41">
      <w:r>
        <w:separator/>
      </w:r>
    </w:p>
  </w:footnote>
  <w:footnote w:type="continuationSeparator" w:id="0">
    <w:p w:rsidR="00C40B41" w:rsidRDefault="00C40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BD" w:rsidRDefault="0014555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50BD" w:rsidRDefault="00C40B4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BD" w:rsidRDefault="00145556">
    <w:pPr>
      <w:pStyle w:val="Cabealho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50165</wp:posOffset>
          </wp:positionH>
          <wp:positionV relativeFrom="page">
            <wp:posOffset>-1905</wp:posOffset>
          </wp:positionV>
          <wp:extent cx="7516495" cy="1285875"/>
          <wp:effectExtent l="0" t="0" r="825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BD" w:rsidRDefault="0014555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50165</wp:posOffset>
          </wp:positionH>
          <wp:positionV relativeFrom="page">
            <wp:posOffset>-1905</wp:posOffset>
          </wp:positionV>
          <wp:extent cx="7516495" cy="1285875"/>
          <wp:effectExtent l="0" t="0" r="825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0056D"/>
    <w:multiLevelType w:val="multilevel"/>
    <w:tmpl w:val="28C44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56"/>
    <w:rsid w:val="00145556"/>
    <w:rsid w:val="009458A1"/>
    <w:rsid w:val="00C40B41"/>
    <w:rsid w:val="00E5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D1DA23D"/>
  <w15:chartTrackingRefBased/>
  <w15:docId w15:val="{F5476E29-C300-4A93-84E1-8C71641A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5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145556"/>
    <w:pPr>
      <w:keepNext/>
      <w:jc w:val="center"/>
      <w:outlineLvl w:val="0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45556"/>
    <w:rPr>
      <w:rFonts w:ascii="Garamond" w:eastAsia="Times New Roman" w:hAnsi="Garamond" w:cs="Times New Roman"/>
      <w:sz w:val="28"/>
      <w:szCs w:val="20"/>
      <w:lang w:eastAsia="pt-BR"/>
    </w:rPr>
  </w:style>
  <w:style w:type="character" w:styleId="Nmerodepgina">
    <w:name w:val="page number"/>
    <w:uiPriority w:val="99"/>
    <w:rsid w:val="00145556"/>
    <w:rPr>
      <w:rFonts w:cs="Times New Roman"/>
    </w:rPr>
  </w:style>
  <w:style w:type="paragraph" w:styleId="Rodap">
    <w:name w:val="footer"/>
    <w:basedOn w:val="Normal"/>
    <w:link w:val="RodapChar"/>
    <w:uiPriority w:val="99"/>
    <w:rsid w:val="00145556"/>
    <w:pPr>
      <w:tabs>
        <w:tab w:val="center" w:pos="4419"/>
        <w:tab w:val="right" w:pos="8838"/>
      </w:tabs>
    </w:pPr>
    <w:rPr>
      <w:rFonts w:ascii="Courier (W1)" w:hAnsi="Courier (W1)"/>
      <w:color w:val="00000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145556"/>
    <w:rPr>
      <w:rFonts w:ascii="Courier (W1)" w:eastAsia="Times New Roman" w:hAnsi="Courier (W1)" w:cs="Times New Roman"/>
      <w:color w:val="000000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1455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hAnsi="Arial Unicode MS" w:cs="Arial Unicode MS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14555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55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145556"/>
    <w:pPr>
      <w:jc w:val="both"/>
    </w:pPr>
    <w:rPr>
      <w:rFonts w:ascii="Garamond" w:hAnsi="Garamond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145556"/>
    <w:rPr>
      <w:rFonts w:ascii="Garamond" w:eastAsia="Times New Roman" w:hAnsi="Garamond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145556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overflowPunct/>
      <w:autoSpaceDE/>
      <w:autoSpaceDN/>
      <w:adjustRightInd/>
      <w:jc w:val="both"/>
      <w:textAlignment w:val="auto"/>
    </w:pPr>
    <w:rPr>
      <w:rFonts w:ascii="Courier New" w:hAnsi="Courier New"/>
      <w:spacing w:val="-3"/>
      <w:sz w:val="24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45556"/>
    <w:rPr>
      <w:rFonts w:ascii="Courier New" w:eastAsia="Times New Roman" w:hAnsi="Courier New" w:cs="Times New Roman"/>
      <w:spacing w:val="-3"/>
      <w:sz w:val="24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145556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F323C-35A0-4555-A8F0-9E5CAA81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2366</Words>
  <Characters>12779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2021-10-20T18:49:00Z</dcterms:created>
  <dcterms:modified xsi:type="dcterms:W3CDTF">2021-10-20T19:45:00Z</dcterms:modified>
</cp:coreProperties>
</file>