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56" w:rsidRPr="003D67E4" w:rsidRDefault="00312856" w:rsidP="00312856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nº. 42/2022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</w:p>
    <w:p w:rsidR="00312856" w:rsidRPr="001543F8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  <w:r w:rsidRPr="001543F8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Sidnei José </w:t>
      </w:r>
      <w:proofErr w:type="spellStart"/>
      <w:r w:rsidRPr="001543F8">
        <w:rPr>
          <w:rFonts w:ascii="Arial" w:hAnsi="Arial" w:cs="Arial"/>
          <w:sz w:val="22"/>
          <w:szCs w:val="22"/>
        </w:rPr>
        <w:t>Willinghöfer</w:t>
      </w:r>
      <w:proofErr w:type="spellEnd"/>
      <w:r w:rsidRPr="001543F8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 w:rsidRPr="001543F8">
        <w:rPr>
          <w:rFonts w:ascii="Arial" w:hAnsi="Arial" w:cs="Arial"/>
          <w:bCs/>
          <w:sz w:val="22"/>
          <w:szCs w:val="22"/>
        </w:rPr>
        <w:t>503.319.819-04</w:t>
      </w:r>
      <w:r w:rsidRPr="001543F8">
        <w:rPr>
          <w:rFonts w:ascii="Arial" w:hAnsi="Arial" w:cs="Arial"/>
          <w:sz w:val="22"/>
          <w:szCs w:val="22"/>
        </w:rPr>
        <w:t xml:space="preserve"> e portador da Cédula de Identidade n° 1.711.118 SSP/SC de ora em diante denominado de contratante, e de outro lado à empresa </w:t>
      </w:r>
      <w:r w:rsidRPr="001543F8">
        <w:rPr>
          <w:rFonts w:ascii="Arial" w:hAnsi="Arial" w:cs="Arial"/>
          <w:b/>
          <w:sz w:val="22"/>
          <w:szCs w:val="22"/>
        </w:rPr>
        <w:t>GAIA RODOVIAS LTDA</w:t>
      </w:r>
      <w:r w:rsidRPr="001543F8">
        <w:rPr>
          <w:rFonts w:ascii="Arial" w:hAnsi="Arial" w:cs="Arial"/>
          <w:sz w:val="22"/>
          <w:szCs w:val="22"/>
        </w:rPr>
        <w:t>, inscrita no CNPJ n º 03.257.777/0001-24, residida na Rua Duque de Caxias, nº. 626 na cidade de Maravilha – SC, representado pelo</w:t>
      </w:r>
      <w:r w:rsidRPr="001543F8">
        <w:rPr>
          <w:rFonts w:ascii="Arial" w:hAnsi="Arial" w:cs="Arial"/>
          <w:spacing w:val="1"/>
          <w:sz w:val="22"/>
          <w:szCs w:val="22"/>
        </w:rPr>
        <w:t xml:space="preserve"> </w:t>
      </w:r>
      <w:r w:rsidRPr="001543F8">
        <w:rPr>
          <w:rFonts w:ascii="Arial" w:hAnsi="Arial" w:cs="Arial"/>
          <w:sz w:val="22"/>
          <w:szCs w:val="22"/>
        </w:rPr>
        <w:t>seu representante</w:t>
      </w:r>
      <w:r w:rsidRPr="001543F8">
        <w:rPr>
          <w:rFonts w:ascii="Arial" w:hAnsi="Arial" w:cs="Arial"/>
          <w:spacing w:val="1"/>
          <w:sz w:val="22"/>
          <w:szCs w:val="22"/>
        </w:rPr>
        <w:t xml:space="preserve"> </w:t>
      </w:r>
      <w:r w:rsidRPr="001543F8">
        <w:rPr>
          <w:rFonts w:ascii="Arial" w:hAnsi="Arial" w:cs="Arial"/>
          <w:sz w:val="22"/>
          <w:szCs w:val="22"/>
        </w:rPr>
        <w:t>legal</w:t>
      </w:r>
      <w:r w:rsidRPr="001543F8">
        <w:rPr>
          <w:rFonts w:ascii="Arial" w:hAnsi="Arial" w:cs="Arial"/>
          <w:spacing w:val="13"/>
          <w:sz w:val="22"/>
          <w:szCs w:val="22"/>
        </w:rPr>
        <w:t xml:space="preserve"> </w:t>
      </w:r>
      <w:r w:rsidRPr="001543F8">
        <w:rPr>
          <w:rFonts w:ascii="Arial" w:hAnsi="Arial" w:cs="Arial"/>
          <w:sz w:val="22"/>
          <w:szCs w:val="22"/>
        </w:rPr>
        <w:t>o</w:t>
      </w:r>
      <w:r w:rsidRPr="001543F8">
        <w:rPr>
          <w:rFonts w:ascii="Arial" w:hAnsi="Arial" w:cs="Arial"/>
          <w:spacing w:val="13"/>
          <w:sz w:val="22"/>
          <w:szCs w:val="22"/>
        </w:rPr>
        <w:t xml:space="preserve"> </w:t>
      </w:r>
      <w:r w:rsidRPr="001543F8">
        <w:rPr>
          <w:rFonts w:ascii="Arial" w:hAnsi="Arial" w:cs="Arial"/>
          <w:sz w:val="22"/>
          <w:szCs w:val="22"/>
        </w:rPr>
        <w:t xml:space="preserve">Sr. </w:t>
      </w:r>
      <w:r w:rsidRPr="001543F8">
        <w:rPr>
          <w:rFonts w:ascii="Arial" w:hAnsi="Arial" w:cs="Arial"/>
          <w:spacing w:val="12"/>
          <w:sz w:val="22"/>
          <w:szCs w:val="22"/>
        </w:rPr>
        <w:t xml:space="preserve">Renato Adriano </w:t>
      </w:r>
      <w:proofErr w:type="spellStart"/>
      <w:r w:rsidRPr="001543F8">
        <w:rPr>
          <w:rFonts w:ascii="Arial" w:hAnsi="Arial" w:cs="Arial"/>
          <w:spacing w:val="12"/>
          <w:sz w:val="22"/>
          <w:szCs w:val="22"/>
        </w:rPr>
        <w:t>Seibt</w:t>
      </w:r>
      <w:proofErr w:type="spellEnd"/>
      <w:r w:rsidRPr="001543F8">
        <w:rPr>
          <w:rFonts w:ascii="Arial" w:hAnsi="Arial" w:cs="Arial"/>
          <w:sz w:val="22"/>
          <w:szCs w:val="22"/>
        </w:rPr>
        <w:t>,</w:t>
      </w:r>
      <w:r w:rsidRPr="001543F8">
        <w:rPr>
          <w:rFonts w:ascii="Arial" w:hAnsi="Arial" w:cs="Arial"/>
          <w:spacing w:val="12"/>
          <w:sz w:val="22"/>
          <w:szCs w:val="22"/>
        </w:rPr>
        <w:t xml:space="preserve"> </w:t>
      </w:r>
      <w:r w:rsidRPr="001543F8">
        <w:rPr>
          <w:rFonts w:ascii="Arial" w:hAnsi="Arial" w:cs="Arial"/>
          <w:sz w:val="22"/>
          <w:szCs w:val="22"/>
        </w:rPr>
        <w:t xml:space="preserve">CPF sob nº.526.393.209-04, doravante denominada de contratada, </w:t>
      </w:r>
      <w:r w:rsidRPr="001543F8">
        <w:rPr>
          <w:rFonts w:ascii="Arial" w:eastAsia="Batang" w:hAnsi="Arial" w:cs="Arial"/>
          <w:sz w:val="22"/>
          <w:szCs w:val="22"/>
        </w:rPr>
        <w:t xml:space="preserve">de comum acordo e com amparo legal na Lei 8.666/93 complementada pela Lei 8.883/94, </w:t>
      </w:r>
      <w:r w:rsidRPr="001543F8">
        <w:rPr>
          <w:rFonts w:ascii="Arial" w:hAnsi="Arial" w:cs="Arial"/>
          <w:sz w:val="22"/>
          <w:szCs w:val="22"/>
        </w:rPr>
        <w:t>Lei Federal nº. 10.520 de 17 de julho de 2002</w:t>
      </w:r>
      <w:r w:rsidRPr="001543F8">
        <w:rPr>
          <w:rFonts w:ascii="Arial" w:eastAsia="Batang" w:hAnsi="Arial" w:cs="Arial"/>
          <w:sz w:val="22"/>
          <w:szCs w:val="22"/>
        </w:rPr>
        <w:t>, Lei Orgânica Municipal e Licitação nº. 743/2022 Modalidade de Tomada de Preço nº. 07/2022, resolvem contratar o objeto do presente pelas seguintes cláusulas que seguem: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</w:p>
    <w:p w:rsidR="00312856" w:rsidRPr="003D67E4" w:rsidRDefault="00312856" w:rsidP="00312856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312856" w:rsidRPr="00D26E01" w:rsidRDefault="00312856" w:rsidP="00312856">
      <w:pPr>
        <w:spacing w:before="147"/>
        <w:ind w:right="-114"/>
        <w:jc w:val="both"/>
        <w:rPr>
          <w:rFonts w:ascii="Arial" w:hAnsi="Arial" w:cs="Arial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046F04">
        <w:rPr>
          <w:rFonts w:ascii="Arial" w:hAnsi="Arial" w:cs="Arial"/>
          <w:sz w:val="22"/>
          <w:szCs w:val="22"/>
        </w:rPr>
        <w:t xml:space="preserve"> </w:t>
      </w:r>
      <w:r w:rsidRPr="00D26E01">
        <w:rPr>
          <w:rFonts w:ascii="Arial" w:hAnsi="Arial" w:cs="Arial"/>
          <w:sz w:val="22"/>
          <w:szCs w:val="22"/>
        </w:rPr>
        <w:t>CONTRATAÇÃO DE EMPRESA SOB REGIME DE EMPREITADA GLOBAL COM FORNECIMENTO DE MATERIAIS PARA PAVIMENTAÇÃO EM ASFALTO USINADO Á QUENTE SOBRE CALÇAMENTO EXISTENTE NA RUA TEREZINHA CERVIERI E RUA DA BARRA TRECHO I E II, COM AREA TOTAL DE 4.326,70m².</w:t>
      </w:r>
    </w:p>
    <w:p w:rsidR="00312856" w:rsidRDefault="00312856" w:rsidP="0031285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312856" w:rsidRDefault="00312856" w:rsidP="00312856">
      <w:pPr>
        <w:pStyle w:val="Corpodetexto"/>
        <w:ind w:right="-54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p w:rsidR="00312856" w:rsidRDefault="00312856" w:rsidP="00312856">
      <w:pPr>
        <w:pStyle w:val="Corpodetexto"/>
        <w:tabs>
          <w:tab w:val="left" w:pos="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5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153"/>
        <w:gridCol w:w="995"/>
        <w:gridCol w:w="5029"/>
        <w:gridCol w:w="1778"/>
      </w:tblGrid>
      <w:tr w:rsidR="00312856" w:rsidRPr="006C35D7" w:rsidTr="00B55243">
        <w:trPr>
          <w:jc w:val="center"/>
        </w:trPr>
        <w:tc>
          <w:tcPr>
            <w:tcW w:w="898" w:type="dxa"/>
          </w:tcPr>
          <w:p w:rsidR="00312856" w:rsidRPr="006C35D7" w:rsidRDefault="00312856" w:rsidP="00B55243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1153" w:type="dxa"/>
          </w:tcPr>
          <w:p w:rsidR="00312856" w:rsidRPr="006C35D7" w:rsidRDefault="00312856" w:rsidP="00B55243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995" w:type="dxa"/>
          </w:tcPr>
          <w:p w:rsidR="00312856" w:rsidRPr="006C35D7" w:rsidRDefault="00312856" w:rsidP="00B55243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5029" w:type="dxa"/>
          </w:tcPr>
          <w:p w:rsidR="00312856" w:rsidRPr="006C35D7" w:rsidRDefault="00312856" w:rsidP="00B55243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778" w:type="dxa"/>
          </w:tcPr>
          <w:p w:rsidR="00312856" w:rsidRPr="006C35D7" w:rsidRDefault="00312856" w:rsidP="00B55243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VALOR </w:t>
            </w:r>
          </w:p>
        </w:tc>
      </w:tr>
      <w:tr w:rsidR="00312856" w:rsidRPr="006C35D7" w:rsidTr="00B55243">
        <w:trPr>
          <w:trHeight w:val="1405"/>
          <w:jc w:val="center"/>
        </w:trPr>
        <w:tc>
          <w:tcPr>
            <w:tcW w:w="898" w:type="dxa"/>
          </w:tcPr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312856" w:rsidRPr="006C35D7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312856" w:rsidRPr="006C35D7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995" w:type="dxa"/>
          </w:tcPr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312856" w:rsidRPr="006C35D7" w:rsidRDefault="00312856" w:rsidP="00B55243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5029" w:type="dxa"/>
          </w:tcPr>
          <w:p w:rsidR="00312856" w:rsidRPr="005644E4" w:rsidRDefault="00312856" w:rsidP="00B55243">
            <w:pPr>
              <w:spacing w:before="147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4E4">
              <w:rPr>
                <w:rFonts w:ascii="Arial" w:hAnsi="Arial"/>
                <w:sz w:val="22"/>
                <w:szCs w:val="22"/>
              </w:rPr>
              <w:t xml:space="preserve">SERVIÇO </w:t>
            </w:r>
            <w:r w:rsidRPr="00D26E01">
              <w:rPr>
                <w:rFonts w:ascii="Arial" w:hAnsi="Arial" w:cs="Arial"/>
                <w:sz w:val="22"/>
                <w:szCs w:val="22"/>
              </w:rPr>
              <w:t>SOB REGIME DE EMPREITADA GLOBAL COM FORNECIMENTO DE MATERIAIS PARA PAVIMENTAÇÃO EM ASFALTO USINADO Á QUENTE SOBRE CALÇAMENTO EXISTENTE NA RUA TEREZINHA CERVIERI E RUA DA BARRA TRECHO I E II, COM AREA TOTAL DE 4.326,70m².</w:t>
            </w:r>
          </w:p>
        </w:tc>
        <w:tc>
          <w:tcPr>
            <w:tcW w:w="1778" w:type="dxa"/>
          </w:tcPr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312856" w:rsidRDefault="00312856" w:rsidP="00B55243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312856" w:rsidRPr="006C35D7" w:rsidRDefault="00312856" w:rsidP="00B55243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R$ 529.630,47</w:t>
            </w:r>
          </w:p>
        </w:tc>
      </w:tr>
    </w:tbl>
    <w:p w:rsidR="00312856" w:rsidRDefault="00312856" w:rsidP="0031285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312856" w:rsidRPr="006E2152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312856" w:rsidRPr="0026280C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O valor total do Contrato é de R$ 529.630,47 </w:t>
      </w:r>
      <w:r w:rsidRPr="0026280C">
        <w:rPr>
          <w:rFonts w:ascii="Arial" w:eastAsia="Batang" w:hAnsi="Arial" w:cs="Arial"/>
          <w:sz w:val="22"/>
          <w:szCs w:val="22"/>
        </w:rPr>
        <w:t>(</w:t>
      </w:r>
      <w:r>
        <w:rPr>
          <w:rFonts w:ascii="Arial" w:eastAsia="Batang" w:hAnsi="Arial" w:cs="Arial"/>
          <w:sz w:val="22"/>
          <w:szCs w:val="22"/>
        </w:rPr>
        <w:t>Quinhentos e vinte e nove mil e seiscentos e trinta reais e quarenta e sete centavos</w:t>
      </w:r>
      <w:r w:rsidRPr="0026280C">
        <w:rPr>
          <w:rFonts w:ascii="Arial" w:eastAsia="Batang" w:hAnsi="Arial" w:cs="Arial"/>
          <w:sz w:val="22"/>
          <w:szCs w:val="22"/>
        </w:rPr>
        <w:t>)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</w:p>
    <w:p w:rsidR="00312856" w:rsidRPr="003D67E4" w:rsidRDefault="00312856" w:rsidP="00312856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autoSpaceDE w:val="0"/>
        <w:autoSpaceDN w:val="0"/>
        <w:ind w:right="-5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312856" w:rsidRPr="000807FC" w:rsidRDefault="00312856" w:rsidP="00312856">
      <w:pPr>
        <w:ind w:right="-53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assinado pelo contador responsável, conforme definido no artigo 195 e subitens 7.02 e 7.05 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312856" w:rsidRPr="000807FC" w:rsidRDefault="00312856" w:rsidP="00312856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312856" w:rsidRPr="000807FC" w:rsidRDefault="00312856" w:rsidP="00312856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312856" w:rsidRPr="003D67E4" w:rsidRDefault="00312856" w:rsidP="00312856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Pr="00F84BB7" w:rsidRDefault="00312856" w:rsidP="00312856">
      <w:pPr>
        <w:pStyle w:val="Corpodetexto"/>
        <w:ind w:left="-180" w:right="-23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 w:rsidRPr="004F188F">
        <w:rPr>
          <w:rFonts w:ascii="Arial" w:hAnsi="Arial" w:cs="Arial"/>
          <w:sz w:val="22"/>
          <w:szCs w:val="22"/>
        </w:rPr>
        <w:t>154510018.1.015000 PAVIMENTACAO DE VIAS URBANAS E RURAIS</w:t>
      </w:r>
      <w:r w:rsidRPr="004F188F">
        <w:rPr>
          <w:rFonts w:ascii="Arial" w:hAnsi="Arial" w:cs="Arial"/>
          <w:sz w:val="22"/>
          <w:szCs w:val="22"/>
          <w:lang w:val="pt-BR"/>
        </w:rPr>
        <w:t>;</w:t>
      </w:r>
    </w:p>
    <w:p w:rsidR="00312856" w:rsidRPr="003D67E4" w:rsidRDefault="00312856" w:rsidP="00312856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312856" w:rsidRPr="003D67E4" w:rsidRDefault="00312856" w:rsidP="00312856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312856" w:rsidRDefault="00312856" w:rsidP="00312856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180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120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60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</w:p>
    <w:p w:rsidR="00312856" w:rsidRPr="003D67E4" w:rsidRDefault="00312856" w:rsidP="00312856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D67E4">
        <w:rPr>
          <w:rFonts w:ascii="Arial" w:hAnsi="Arial" w:cs="Arial"/>
          <w:sz w:val="22"/>
          <w:szCs w:val="22"/>
        </w:rPr>
        <w:t xml:space="preserve">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3D67E4">
        <w:rPr>
          <w:rFonts w:ascii="Arial" w:hAnsi="Arial" w:cs="Arial"/>
          <w:sz w:val="22"/>
          <w:szCs w:val="22"/>
        </w:rPr>
        <w:t xml:space="preserve"> – Executar os serviços cumprindo rigorosamente os projetos e memoriais conforme estabelecidos neste edital;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D67E4">
        <w:rPr>
          <w:rFonts w:ascii="Arial" w:hAnsi="Arial" w:cs="Arial"/>
          <w:sz w:val="22"/>
          <w:szCs w:val="22"/>
        </w:rPr>
        <w:t>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D67E4">
        <w:rPr>
          <w:rFonts w:ascii="Arial" w:hAnsi="Arial" w:cs="Arial"/>
          <w:sz w:val="22"/>
          <w:szCs w:val="22"/>
        </w:rPr>
        <w:t xml:space="preserve"> – Prestar os esclarecimentos que forem solicitados pelo Município, cujas reclamações se obrigam a atender prontamente;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312856" w:rsidRPr="003D67E4" w:rsidRDefault="00312856" w:rsidP="00312856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312856" w:rsidRPr="003D67E4" w:rsidRDefault="00312856" w:rsidP="00312856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312856" w:rsidRPr="00037A74" w:rsidRDefault="00312856" w:rsidP="00312856">
      <w:pPr>
        <w:pStyle w:val="Corpodetexto"/>
        <w:ind w:right="28"/>
        <w:rPr>
          <w:rFonts w:ascii="Arial" w:eastAsia="Batang" w:hAnsi="Arial" w:cs="Arial"/>
          <w:b/>
          <w:bCs/>
          <w:i/>
          <w:szCs w:val="24"/>
          <w:u w:val="single"/>
          <w:lang w:val="pt-BR"/>
        </w:rPr>
      </w:pPr>
      <w:r>
        <w:rPr>
          <w:rFonts w:ascii="Arial" w:eastAsia="Batang" w:hAnsi="Arial" w:cs="Arial"/>
          <w:b/>
          <w:bCs/>
          <w:i/>
          <w:szCs w:val="24"/>
          <w:u w:val="single"/>
          <w:lang w:val="pt-BR"/>
        </w:rPr>
        <w:t>P</w:t>
      </w:r>
      <w:r w:rsidRPr="00037A74">
        <w:rPr>
          <w:rFonts w:ascii="Arial" w:eastAsia="Batang" w:hAnsi="Arial" w:cs="Arial"/>
          <w:b/>
          <w:bCs/>
          <w:i/>
          <w:szCs w:val="24"/>
          <w:u w:val="single"/>
          <w:lang w:val="pt-BR"/>
        </w:rPr>
        <w:t xml:space="preserve"> – A empresa contratada deverá escolher uma das três opções descritas abaixo de prestação de garantia e apresentar ao município num prazo Máximo de 5 dias uteis, </w:t>
      </w:r>
      <w:r w:rsidRPr="00037A74">
        <w:rPr>
          <w:rFonts w:ascii="Arial" w:eastAsia="Batang" w:hAnsi="Arial" w:cs="Arial"/>
          <w:b/>
          <w:i/>
          <w:szCs w:val="24"/>
          <w:u w:val="single"/>
          <w:lang w:val="pt-BR"/>
        </w:rPr>
        <w:t>contados a partir da data da assinatura do contrato</w:t>
      </w:r>
      <w:r w:rsidRPr="00037A74">
        <w:rPr>
          <w:rFonts w:ascii="Arial" w:eastAsia="Batang" w:hAnsi="Arial" w:cs="Arial"/>
          <w:b/>
          <w:bCs/>
          <w:i/>
          <w:szCs w:val="24"/>
          <w:u w:val="single"/>
          <w:lang w:val="pt-BR"/>
        </w:rPr>
        <w:t>:</w:t>
      </w:r>
    </w:p>
    <w:p w:rsidR="00312856" w:rsidRPr="00037A74" w:rsidRDefault="00312856" w:rsidP="00312856">
      <w:pPr>
        <w:pStyle w:val="Corpodetexto"/>
        <w:ind w:right="28"/>
        <w:rPr>
          <w:rFonts w:ascii="Arial" w:eastAsia="Batang" w:hAnsi="Arial" w:cs="Arial"/>
          <w:bCs/>
          <w:sz w:val="22"/>
          <w:szCs w:val="22"/>
          <w:lang w:val="pt-BR"/>
        </w:rPr>
      </w:pPr>
    </w:p>
    <w:p w:rsidR="00312856" w:rsidRPr="00037A74" w:rsidRDefault="00312856" w:rsidP="00312856">
      <w:pPr>
        <w:pStyle w:val="NormalWeb"/>
        <w:spacing w:before="0" w:beforeAutospacing="0" w:after="0" w:afterAutospacing="0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Pr="00037A74">
        <w:rPr>
          <w:rFonts w:ascii="Arial" w:hAnsi="Arial" w:cs="Arial"/>
          <w:color w:val="000000"/>
          <w:sz w:val="22"/>
          <w:szCs w:val="22"/>
        </w:rPr>
        <w:t xml:space="preserve"> - Caução em dinheiro de 5% do valor total do contrato ou em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Fazenda;</w:t>
      </w:r>
      <w:r w:rsidRPr="00037A7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anchor="art26" w:history="1">
        <w:r w:rsidRPr="00037A74">
          <w:rPr>
            <w:rStyle w:val="Hyperlink"/>
            <w:rFonts w:ascii="Arial" w:hAnsi="Arial" w:cs="Arial"/>
            <w:sz w:val="22"/>
            <w:szCs w:val="22"/>
          </w:rPr>
          <w:t>(Redação dada pela Lei nº 11.079, de 2004)</w:t>
        </w:r>
      </w:hyperlink>
      <w:r w:rsidRPr="00037A74">
        <w:rPr>
          <w:rFonts w:ascii="Arial" w:hAnsi="Arial" w:cs="Arial"/>
          <w:color w:val="000000"/>
          <w:sz w:val="22"/>
          <w:szCs w:val="22"/>
        </w:rPr>
        <w:t>;</w:t>
      </w:r>
    </w:p>
    <w:p w:rsidR="00312856" w:rsidRPr="00037A74" w:rsidRDefault="00312856" w:rsidP="00312856">
      <w:pPr>
        <w:pStyle w:val="NormalWeb"/>
        <w:spacing w:before="0" w:beforeAutospacing="0" w:after="0" w:afterAutospacing="0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312856" w:rsidRDefault="00312856" w:rsidP="00312856">
      <w:pPr>
        <w:pStyle w:val="NormalWeb"/>
        <w:spacing w:before="0" w:beforeAutospacing="0" w:after="0" w:afterAutospacing="0"/>
        <w:ind w:right="28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 w:rsidRPr="00037A74">
        <w:rPr>
          <w:rFonts w:ascii="Arial" w:hAnsi="Arial" w:cs="Arial"/>
          <w:color w:val="000000"/>
          <w:sz w:val="22"/>
          <w:szCs w:val="22"/>
        </w:rPr>
        <w:t xml:space="preserve"> - seguro-garantia com validade mínima 12 meses; </w:t>
      </w:r>
      <w:hyperlink r:id="rId7" w:anchor="art1" w:history="1">
        <w:r w:rsidRPr="00037A74">
          <w:rPr>
            <w:rStyle w:val="Hyperlink"/>
            <w:rFonts w:ascii="Arial" w:hAnsi="Arial" w:cs="Arial"/>
            <w:sz w:val="22"/>
            <w:szCs w:val="22"/>
          </w:rPr>
          <w:t>(Redação dada pela Lei nº 8.883, de 1994)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:rsidR="00312856" w:rsidRPr="00037A74" w:rsidRDefault="00312856" w:rsidP="00312856">
      <w:pPr>
        <w:pStyle w:val="NormalWeb"/>
        <w:spacing w:before="0" w:beforeAutospacing="0" w:after="0" w:afterAutospacing="0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312856" w:rsidRPr="00037A74" w:rsidRDefault="00312856" w:rsidP="00312856">
      <w:pPr>
        <w:pStyle w:val="NormalWeb"/>
        <w:spacing w:before="0" w:beforeAutospacing="0" w:after="0" w:afterAutospacing="0"/>
        <w:ind w:right="28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 w:rsidRPr="00037A74">
        <w:rPr>
          <w:rFonts w:ascii="Arial" w:hAnsi="Arial" w:cs="Arial"/>
          <w:color w:val="000000"/>
          <w:sz w:val="22"/>
          <w:szCs w:val="22"/>
        </w:rPr>
        <w:t xml:space="preserve"> - fiança bancária com validade mínima 12 meses. </w:t>
      </w:r>
      <w:hyperlink r:id="rId8" w:anchor="art1" w:history="1">
        <w:r w:rsidRPr="00037A74">
          <w:rPr>
            <w:rStyle w:val="Hyperlink"/>
            <w:rFonts w:ascii="Arial" w:hAnsi="Arial" w:cs="Arial"/>
            <w:sz w:val="22"/>
            <w:szCs w:val="22"/>
          </w:rPr>
          <w:t>(Redação dada pela Lei nº 8.883, de 8.6.94)</w:t>
        </w:r>
      </w:hyperlink>
    </w:p>
    <w:p w:rsidR="00312856" w:rsidRPr="003D67E4" w:rsidRDefault="00312856" w:rsidP="00312856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lastRenderedPageBreak/>
        <w:t>CLAUSULA SEXTA – DA FISCALIZAÇÃO</w:t>
      </w:r>
    </w:p>
    <w:p w:rsidR="00312856" w:rsidRDefault="00312856" w:rsidP="00312856">
      <w:pPr>
        <w:jc w:val="both"/>
        <w:rPr>
          <w:rFonts w:ascii="Arial" w:hAnsi="Arial" w:cs="Arial"/>
          <w:b/>
          <w:sz w:val="22"/>
          <w:szCs w:val="22"/>
        </w:rPr>
      </w:pPr>
    </w:p>
    <w:p w:rsidR="00312856" w:rsidRPr="00ED7D34" w:rsidRDefault="00312856" w:rsidP="00312856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312856" w:rsidRPr="00ED7D34" w:rsidRDefault="00312856" w:rsidP="00312856">
      <w:pPr>
        <w:ind w:right="28" w:firstLine="709"/>
        <w:jc w:val="both"/>
        <w:rPr>
          <w:rFonts w:ascii="Arial" w:hAnsi="Arial" w:cs="Arial"/>
          <w:sz w:val="22"/>
          <w:szCs w:val="22"/>
        </w:rPr>
      </w:pPr>
    </w:p>
    <w:p w:rsidR="00312856" w:rsidRPr="00ED7D34" w:rsidRDefault="00312856" w:rsidP="00312856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312856" w:rsidRPr="00ED7D34" w:rsidRDefault="00312856" w:rsidP="00312856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312856" w:rsidRDefault="00312856" w:rsidP="00312856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312856" w:rsidRDefault="00312856" w:rsidP="00312856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312856" w:rsidRDefault="00312856" w:rsidP="00312856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Rodrigo Alencar </w:t>
      </w:r>
      <w:proofErr w:type="spellStart"/>
      <w:r>
        <w:rPr>
          <w:rFonts w:ascii="Arial" w:hAnsi="Arial" w:cs="Arial"/>
          <w:b/>
          <w:sz w:val="22"/>
        </w:rPr>
        <w:t>Boll</w:t>
      </w:r>
      <w:proofErr w:type="spellEnd"/>
    </w:p>
    <w:p w:rsidR="00312856" w:rsidRPr="0037503D" w:rsidRDefault="00312856" w:rsidP="00312856">
      <w:pPr>
        <w:jc w:val="both"/>
        <w:rPr>
          <w:rFonts w:ascii="Arial" w:hAnsi="Arial" w:cs="Arial"/>
          <w:b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D – D</w:t>
      </w:r>
      <w:r w:rsidRPr="003D67E4">
        <w:rPr>
          <w:rFonts w:ascii="Arial" w:hAnsi="Arial" w:cs="Arial"/>
          <w:sz w:val="22"/>
          <w:szCs w:val="22"/>
        </w:rPr>
        <w:t xml:space="preserve">eclaração de inidoneidade para licitar junto à Administração Pública, enquanto perdurarem os motivos determinantes da punição, ou até que seja promovida a reabilitação perante a própria </w:t>
      </w:r>
      <w:r w:rsidRPr="003D67E4">
        <w:rPr>
          <w:rFonts w:ascii="Arial" w:hAnsi="Arial" w:cs="Arial"/>
          <w:sz w:val="22"/>
          <w:szCs w:val="22"/>
        </w:rPr>
        <w:lastRenderedPageBreak/>
        <w:t>autoridade</w:t>
      </w:r>
      <w:bookmarkStart w:id="0" w:name="_GoBack"/>
      <w:bookmarkEnd w:id="0"/>
      <w:r w:rsidRPr="003D67E4">
        <w:rPr>
          <w:rFonts w:ascii="Arial" w:hAnsi="Arial" w:cs="Arial"/>
          <w:sz w:val="22"/>
          <w:szCs w:val="22"/>
        </w:rPr>
        <w:t xml:space="preserve"> que aplicou a penalidade, de acordo com o inciso IV do art. 87 da Lei Federal nº. 8.666 de 21 de junho de 1993;</w:t>
      </w: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IV – Se a contratada não proceder ao recolhimento da multa no prazo de 5 (cinco) dias úteis contados da intimação por parte do Município, o respectivo valor será descontado dos créditos que a contratada possuir com este, e, se estes não forem suficientes, o valor que sobejar será encaminhado para execução pela Assessoria Jurídica.</w:t>
      </w: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Pr="003D67E4" w:rsidRDefault="00312856" w:rsidP="00312856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Ocorrendo modificações e/ou alterações no objeto, a correspondente medição ou ajuste será efetuada no final do mês de sua respectiva execução.</w:t>
      </w: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312856" w:rsidRPr="003D67E4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Flor do Sertão – SC, </w:t>
      </w:r>
      <w:r>
        <w:rPr>
          <w:rFonts w:ascii="Arial" w:eastAsia="Batang" w:hAnsi="Arial" w:cs="Arial"/>
          <w:sz w:val="22"/>
          <w:szCs w:val="22"/>
          <w:lang w:val="pt-BR"/>
        </w:rPr>
        <w:t>aos 22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dias do mês de </w:t>
      </w:r>
      <w:r>
        <w:rPr>
          <w:rFonts w:ascii="Arial" w:eastAsia="Batang" w:hAnsi="Arial" w:cs="Arial"/>
          <w:sz w:val="22"/>
          <w:szCs w:val="22"/>
          <w:lang w:val="pt-BR"/>
        </w:rPr>
        <w:t>abril de 2022.</w:t>
      </w:r>
    </w:p>
    <w:p w:rsidR="00312856" w:rsidRDefault="00312856" w:rsidP="00312856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312856" w:rsidRPr="00092C75" w:rsidTr="00B55243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312856" w:rsidRPr="00092C75" w:rsidRDefault="00312856" w:rsidP="00B55243">
            <w:pPr>
              <w:ind w:left="851" w:right="144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SIDNEI JOSÉ WILLINGHÖFER</w:t>
            </w:r>
          </w:p>
        </w:tc>
        <w:tc>
          <w:tcPr>
            <w:tcW w:w="1134" w:type="dxa"/>
          </w:tcPr>
          <w:p w:rsidR="00312856" w:rsidRPr="00092C75" w:rsidRDefault="00312856" w:rsidP="00B55243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12856" w:rsidRPr="00D32022" w:rsidRDefault="00312856" w:rsidP="00B55243">
            <w:pPr>
              <w:pStyle w:val="SemEspaamento"/>
              <w:jc w:val="center"/>
              <w:rPr>
                <w:rFonts w:ascii="Arial" w:eastAsia="MS Mincho" w:hAnsi="Arial" w:cs="Arial"/>
                <w:b/>
              </w:rPr>
            </w:pPr>
            <w:r w:rsidRPr="00D32022">
              <w:rPr>
                <w:rFonts w:ascii="Arial" w:hAnsi="Arial" w:cs="Arial"/>
                <w:b/>
              </w:rPr>
              <w:t>RENATO ADRIANO SEIBT</w:t>
            </w:r>
          </w:p>
        </w:tc>
      </w:tr>
      <w:tr w:rsidR="00312856" w:rsidRPr="00092C75" w:rsidTr="00B55243">
        <w:trPr>
          <w:trHeight w:val="210"/>
          <w:jc w:val="center"/>
        </w:trPr>
        <w:tc>
          <w:tcPr>
            <w:tcW w:w="4820" w:type="dxa"/>
          </w:tcPr>
          <w:p w:rsidR="00312856" w:rsidRPr="00092C75" w:rsidRDefault="00312856" w:rsidP="00B55243">
            <w:pPr>
              <w:ind w:left="851" w:right="144"/>
              <w:jc w:val="center"/>
              <w:rPr>
                <w:rFonts w:ascii="Arial" w:hAnsi="Arial" w:cs="Arial"/>
                <w:spacing w:val="-3"/>
              </w:rPr>
            </w:pPr>
            <w:r w:rsidRPr="00092C75"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  <w:bCs/>
              </w:rPr>
              <w:t>503.319.819-04</w:t>
            </w:r>
          </w:p>
        </w:tc>
        <w:tc>
          <w:tcPr>
            <w:tcW w:w="1134" w:type="dxa"/>
          </w:tcPr>
          <w:p w:rsidR="00312856" w:rsidRPr="00092C75" w:rsidRDefault="00312856" w:rsidP="00B55243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</w:tcPr>
          <w:p w:rsidR="00312856" w:rsidRPr="00092C75" w:rsidRDefault="00312856" w:rsidP="00B55243">
            <w:pPr>
              <w:ind w:left="851" w:right="144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92C75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526.393.209-04</w:t>
            </w:r>
          </w:p>
        </w:tc>
      </w:tr>
      <w:tr w:rsidR="00312856" w:rsidRPr="00092C75" w:rsidTr="00B55243">
        <w:trPr>
          <w:trHeight w:val="210"/>
          <w:jc w:val="center"/>
        </w:trPr>
        <w:tc>
          <w:tcPr>
            <w:tcW w:w="4820" w:type="dxa"/>
          </w:tcPr>
          <w:p w:rsidR="00312856" w:rsidRPr="00092C75" w:rsidRDefault="00312856" w:rsidP="00B55243">
            <w:pPr>
              <w:ind w:left="851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CONTRATANTE</w:t>
            </w:r>
          </w:p>
        </w:tc>
        <w:tc>
          <w:tcPr>
            <w:tcW w:w="1134" w:type="dxa"/>
          </w:tcPr>
          <w:p w:rsidR="00312856" w:rsidRPr="00092C75" w:rsidRDefault="00312856" w:rsidP="00B55243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</w:tcPr>
          <w:p w:rsidR="00312856" w:rsidRPr="00092C75" w:rsidRDefault="00312856" w:rsidP="00B55243">
            <w:pPr>
              <w:ind w:left="851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CONTRATADA</w:t>
            </w:r>
          </w:p>
        </w:tc>
      </w:tr>
    </w:tbl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12856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312856" w:rsidRPr="00092C75" w:rsidTr="00B55243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312856" w:rsidRPr="00092C75" w:rsidRDefault="00312856" w:rsidP="00B55243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312856" w:rsidRPr="00092C75" w:rsidRDefault="00312856" w:rsidP="00B55243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312856" w:rsidRPr="00092C75" w:rsidRDefault="00312856" w:rsidP="00B55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312856" w:rsidRPr="00092C75" w:rsidTr="00B55243">
        <w:trPr>
          <w:jc w:val="center"/>
        </w:trPr>
        <w:tc>
          <w:tcPr>
            <w:tcW w:w="4756" w:type="dxa"/>
          </w:tcPr>
          <w:p w:rsidR="00312856" w:rsidRPr="00092C75" w:rsidRDefault="00312856" w:rsidP="00B55243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312856" w:rsidRPr="00092C75" w:rsidRDefault="00312856" w:rsidP="00B55243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312856" w:rsidRPr="00092C75" w:rsidRDefault="00312856" w:rsidP="00B55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312856" w:rsidRPr="00113297" w:rsidRDefault="00312856" w:rsidP="00312856">
      <w:pPr>
        <w:jc w:val="both"/>
        <w:rPr>
          <w:rFonts w:ascii="Arial" w:hAnsi="Arial" w:cs="Arial"/>
          <w:sz w:val="22"/>
          <w:szCs w:val="22"/>
        </w:rPr>
      </w:pPr>
    </w:p>
    <w:p w:rsidR="003C7918" w:rsidRDefault="003C7918"/>
    <w:sectPr w:rsidR="003C7918" w:rsidSect="00312856">
      <w:headerReference w:type="even" r:id="rId9"/>
      <w:headerReference w:type="default" r:id="rId10"/>
      <w:footerReference w:type="default" r:id="rId11"/>
      <w:pgSz w:w="11907" w:h="16840" w:code="9"/>
      <w:pgMar w:top="-580" w:right="1106" w:bottom="539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56" w:rsidRDefault="00312856" w:rsidP="00312856">
      <w:r>
        <w:separator/>
      </w:r>
    </w:p>
  </w:endnote>
  <w:endnote w:type="continuationSeparator" w:id="0">
    <w:p w:rsidR="00312856" w:rsidRDefault="00312856" w:rsidP="0031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01" w:rsidRDefault="0031285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3825" cy="99060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56" w:rsidRDefault="00312856" w:rsidP="00312856">
      <w:r>
        <w:separator/>
      </w:r>
    </w:p>
  </w:footnote>
  <w:footnote w:type="continuationSeparator" w:id="0">
    <w:p w:rsidR="00312856" w:rsidRDefault="00312856" w:rsidP="0031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01" w:rsidRDefault="003128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6E01" w:rsidRDefault="003128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01" w:rsidRDefault="00312856">
    <w:pPr>
      <w:pStyle w:val="Cabealho"/>
      <w:framePr w:wrap="around" w:vAnchor="text" w:hAnchor="margin" w:xAlign="right" w:y="1"/>
      <w:rPr>
        <w:rStyle w:val="Nmerodepgina"/>
      </w:rPr>
    </w:pPr>
  </w:p>
  <w:p w:rsidR="00D26E01" w:rsidRDefault="00312856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6"/>
    <w:rsid w:val="00312856"/>
    <w:rsid w:val="003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66732D-0650-4756-B950-EBD139F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12856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312856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312856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312856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312856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3128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312856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12856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3128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8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locked/>
    <w:rsid w:val="00312856"/>
    <w:rPr>
      <w:rFonts w:cs="Times New Roman"/>
      <w:sz w:val="24"/>
      <w:szCs w:val="24"/>
      <w:lang w:eastAsia="pt-BR"/>
    </w:rPr>
  </w:style>
  <w:style w:type="character" w:styleId="Nmerodepgina">
    <w:name w:val="page number"/>
    <w:uiPriority w:val="99"/>
    <w:rsid w:val="00312856"/>
    <w:rPr>
      <w:rFonts w:cs="Times New Roman"/>
    </w:rPr>
  </w:style>
  <w:style w:type="paragraph" w:styleId="Rodap">
    <w:name w:val="footer"/>
    <w:basedOn w:val="Normal"/>
    <w:link w:val="RodapChar"/>
    <w:uiPriority w:val="99"/>
    <w:rsid w:val="00312856"/>
    <w:pPr>
      <w:tabs>
        <w:tab w:val="center" w:pos="4252"/>
        <w:tab w:val="right" w:pos="8504"/>
      </w:tabs>
    </w:pPr>
    <w:rPr>
      <w:rFonts w:asciiTheme="minorHAnsi" w:eastAsiaTheme="minorHAnsi" w:hAnsiTheme="minorHAnsi"/>
    </w:rPr>
  </w:style>
  <w:style w:type="character" w:customStyle="1" w:styleId="RodapChar1">
    <w:name w:val="Rodapé Char1"/>
    <w:basedOn w:val="Fontepargpadro"/>
    <w:uiPriority w:val="99"/>
    <w:semiHidden/>
    <w:rsid w:val="003128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312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12856"/>
    <w:rPr>
      <w:rFonts w:cs="Times New Roman"/>
    </w:rPr>
  </w:style>
  <w:style w:type="paragraph" w:styleId="NormalWeb">
    <w:name w:val="Normal (Web)"/>
    <w:basedOn w:val="Normal"/>
    <w:uiPriority w:val="99"/>
    <w:rsid w:val="0031285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sonospacing0">
    <w:name w:val="msonospacing"/>
    <w:basedOn w:val="Normal"/>
    <w:uiPriority w:val="99"/>
    <w:rsid w:val="0031285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3128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883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888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4/Lei/L11079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2111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2022-04-22T17:57:00Z</dcterms:created>
  <dcterms:modified xsi:type="dcterms:W3CDTF">2022-04-22T18:02:00Z</dcterms:modified>
</cp:coreProperties>
</file>