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2" w:rsidRPr="00273A1C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39</w:t>
      </w:r>
      <w:r>
        <w:rPr>
          <w:rFonts w:ascii="Arial" w:eastAsia="MS Mincho" w:hAnsi="Arial" w:cs="Arial"/>
          <w:b/>
          <w:sz w:val="22"/>
          <w:szCs w:val="22"/>
        </w:rPr>
        <w:t>/2022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Pr="00ED134D" w:rsidRDefault="00820982" w:rsidP="00820982">
      <w:pPr>
        <w:jc w:val="both"/>
        <w:rPr>
          <w:rFonts w:ascii="Arial" w:hAnsi="Arial" w:cs="Arial"/>
          <w:b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</w:t>
      </w:r>
      <w:r>
        <w:rPr>
          <w:rFonts w:ascii="Arial" w:hAnsi="Arial" w:cs="Arial"/>
          <w:sz w:val="22"/>
          <w:szCs w:val="22"/>
        </w:rPr>
        <w:t xml:space="preserve">e contratante, e de outro lado </w:t>
      </w:r>
      <w:r w:rsidRPr="00ED134D">
        <w:rPr>
          <w:rFonts w:ascii="Arial" w:hAnsi="Arial" w:cs="Arial"/>
          <w:sz w:val="22"/>
          <w:szCs w:val="22"/>
        </w:rPr>
        <w:t xml:space="preserve">a empresa </w:t>
      </w:r>
      <w:r w:rsidRPr="00820982">
        <w:rPr>
          <w:rFonts w:ascii="Arial" w:hAnsi="Arial" w:cs="Arial"/>
          <w:b/>
          <w:sz w:val="22"/>
          <w:szCs w:val="22"/>
        </w:rPr>
        <w:t>LB PHARMA SERVIÇOS FARMACÊUTICOS LTDA - ME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>44.858.616/0001-73,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>Avenida Flor do Sertão,</w:t>
      </w:r>
      <w:r w:rsidRPr="00ED134D">
        <w:rPr>
          <w:rFonts w:ascii="Arial" w:hAnsi="Arial" w:cs="Arial"/>
          <w:sz w:val="22"/>
          <w:szCs w:val="22"/>
        </w:rPr>
        <w:t xml:space="preserve">  nº. </w:t>
      </w:r>
      <w:r>
        <w:rPr>
          <w:rFonts w:ascii="Arial" w:hAnsi="Arial" w:cs="Arial"/>
          <w:sz w:val="22"/>
          <w:szCs w:val="22"/>
        </w:rPr>
        <w:t>444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Flor do Sertão - SC</w:t>
      </w:r>
      <w:r w:rsidRPr="00ED134D">
        <w:rPr>
          <w:rFonts w:ascii="Arial" w:hAnsi="Arial" w:cs="Arial"/>
          <w:sz w:val="22"/>
          <w:szCs w:val="22"/>
        </w:rPr>
        <w:t>, neste ato representada pel</w:t>
      </w:r>
      <w:r>
        <w:rPr>
          <w:rFonts w:ascii="Arial" w:hAnsi="Arial" w:cs="Arial"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ED134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Luana Andressa </w:t>
      </w:r>
      <w:proofErr w:type="spellStart"/>
      <w:r>
        <w:rPr>
          <w:rFonts w:ascii="Arial" w:hAnsi="Arial" w:cs="Arial"/>
          <w:b/>
          <w:sz w:val="22"/>
          <w:szCs w:val="22"/>
        </w:rPr>
        <w:t>Bassani</w:t>
      </w:r>
      <w:proofErr w:type="spellEnd"/>
      <w:r w:rsidRPr="00ED134D">
        <w:rPr>
          <w:rFonts w:ascii="Arial" w:hAnsi="Arial" w:cs="Arial"/>
          <w:sz w:val="22"/>
          <w:szCs w:val="22"/>
        </w:rPr>
        <w:t>, inscrit</w:t>
      </w:r>
      <w:r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sz w:val="22"/>
          <w:szCs w:val="22"/>
        </w:rPr>
        <w:t xml:space="preserve">no CPF sob nº. </w:t>
      </w:r>
      <w:r>
        <w:rPr>
          <w:rFonts w:ascii="Arial" w:hAnsi="Arial" w:cs="Arial"/>
          <w:sz w:val="22"/>
          <w:szCs w:val="22"/>
        </w:rPr>
        <w:t xml:space="preserve">095.718.709-27 </w:t>
      </w:r>
      <w:r w:rsidRPr="00ED134D">
        <w:rPr>
          <w:rFonts w:ascii="Arial" w:hAnsi="Arial" w:cs="Arial"/>
          <w:sz w:val="22"/>
          <w:szCs w:val="22"/>
        </w:rPr>
        <w:t xml:space="preserve">e Identidade nº. </w:t>
      </w:r>
      <w:r>
        <w:rPr>
          <w:rFonts w:ascii="Arial" w:hAnsi="Arial" w:cs="Arial"/>
          <w:sz w:val="22"/>
          <w:szCs w:val="22"/>
        </w:rPr>
        <w:t>5721786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550/2022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10/2022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820982" w:rsidRPr="00406CB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Default="00820982" w:rsidP="00820982">
      <w:pPr>
        <w:jc w:val="both"/>
        <w:rPr>
          <w:rFonts w:ascii="Arial" w:hAnsi="Arial" w:cs="Arial"/>
          <w:bCs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 xml:space="preserve">Este contrato tem por objeto a </w:t>
      </w:r>
      <w:r w:rsidRPr="00CA45BB">
        <w:rPr>
          <w:rFonts w:ascii="Arial" w:hAnsi="Arial" w:cs="Arial"/>
          <w:bCs/>
          <w:sz w:val="22"/>
          <w:szCs w:val="22"/>
        </w:rPr>
        <w:t>CONTRATAÇÃO DE EMPRESA ESPECIALIZADA PARA REALIZAÇÃO DE SERVIÇOS FARMACEUTICOS JUNTO CENTRO MUNICIPAL DE SAUDE DE FLOR DO SERTÃO</w:t>
      </w:r>
      <w:r>
        <w:rPr>
          <w:rFonts w:ascii="Arial" w:hAnsi="Arial" w:cs="Arial"/>
          <w:bCs/>
          <w:sz w:val="22"/>
          <w:szCs w:val="22"/>
        </w:rPr>
        <w:t>.</w:t>
      </w:r>
    </w:p>
    <w:p w:rsidR="00820982" w:rsidRDefault="00820982" w:rsidP="00820982">
      <w:pPr>
        <w:jc w:val="both"/>
        <w:rPr>
          <w:rFonts w:ascii="Arial" w:hAnsi="Arial" w:cs="Arial"/>
          <w:bCs/>
          <w:sz w:val="22"/>
          <w:szCs w:val="22"/>
        </w:rPr>
      </w:pPr>
    </w:p>
    <w:p w:rsidR="00820982" w:rsidRDefault="00820982" w:rsidP="00820982">
      <w:pPr>
        <w:overflowPunct w:val="0"/>
        <w:autoSpaceDE w:val="0"/>
        <w:autoSpaceDN w:val="0"/>
        <w:adjustRightInd w:val="0"/>
        <w:ind w:right="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</w:t>
      </w:r>
      <w:r w:rsidRPr="00ED6001">
        <w:rPr>
          <w:rFonts w:ascii="Arial" w:hAnsi="Arial" w:cs="Arial"/>
          <w:sz w:val="22"/>
          <w:szCs w:val="22"/>
        </w:rPr>
        <w:t>:</w:t>
      </w:r>
    </w:p>
    <w:p w:rsidR="00820982" w:rsidRDefault="00820982" w:rsidP="00820982">
      <w:pPr>
        <w:ind w:left="375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986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0"/>
        <w:gridCol w:w="5524"/>
        <w:gridCol w:w="1502"/>
      </w:tblGrid>
      <w:tr w:rsidR="00820982" w:rsidRPr="00D72850" w:rsidTr="002D6B08">
        <w:trPr>
          <w:jc w:val="center"/>
        </w:trPr>
        <w:tc>
          <w:tcPr>
            <w:tcW w:w="851" w:type="dxa"/>
          </w:tcPr>
          <w:p w:rsidR="00820982" w:rsidRPr="00D72850" w:rsidRDefault="00820982" w:rsidP="002D6B08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134" w:type="dxa"/>
          </w:tcPr>
          <w:p w:rsidR="00820982" w:rsidRPr="00D72850" w:rsidRDefault="00820982" w:rsidP="002D6B08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20982" w:rsidRPr="00D72850" w:rsidRDefault="00820982" w:rsidP="002D6B08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24" w:type="dxa"/>
          </w:tcPr>
          <w:p w:rsidR="00820982" w:rsidRPr="00D72850" w:rsidRDefault="00820982" w:rsidP="002D6B08">
            <w:pPr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502" w:type="dxa"/>
          </w:tcPr>
          <w:p w:rsidR="00820982" w:rsidRPr="00D72850" w:rsidRDefault="00820982" w:rsidP="002D6B08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UNIT. </w:t>
            </w:r>
          </w:p>
        </w:tc>
      </w:tr>
      <w:tr w:rsidR="00820982" w:rsidRPr="00D72850" w:rsidTr="002D6B08">
        <w:trPr>
          <w:jc w:val="center"/>
        </w:trPr>
        <w:tc>
          <w:tcPr>
            <w:tcW w:w="851" w:type="dxa"/>
            <w:vAlign w:val="center"/>
          </w:tcPr>
          <w:p w:rsidR="00820982" w:rsidRPr="00D72850" w:rsidRDefault="00820982" w:rsidP="002D6B0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8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20982" w:rsidRPr="00D72850" w:rsidRDefault="00820982" w:rsidP="002D6B0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09,00</w:t>
            </w:r>
          </w:p>
        </w:tc>
        <w:tc>
          <w:tcPr>
            <w:tcW w:w="850" w:type="dxa"/>
            <w:vAlign w:val="center"/>
          </w:tcPr>
          <w:p w:rsidR="00820982" w:rsidRPr="00D72850" w:rsidRDefault="00820982" w:rsidP="002D6B0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5524" w:type="dxa"/>
            <w:vAlign w:val="center"/>
          </w:tcPr>
          <w:p w:rsidR="00820982" w:rsidRPr="00D72850" w:rsidRDefault="00820982" w:rsidP="002D6B08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D08">
              <w:rPr>
                <w:rFonts w:ascii="Arial" w:hAnsi="Arial" w:cs="Arial"/>
                <w:sz w:val="22"/>
                <w:szCs w:val="22"/>
              </w:rPr>
              <w:t xml:space="preserve">SERVIÇOS FARMACEUTICOS </w:t>
            </w:r>
            <w:r>
              <w:rPr>
                <w:rFonts w:ascii="Arial" w:hAnsi="Arial" w:cs="Arial"/>
                <w:sz w:val="22"/>
                <w:szCs w:val="22"/>
              </w:rPr>
              <w:t xml:space="preserve">A SEREM REALIZADOS </w:t>
            </w:r>
            <w:r w:rsidRPr="00EC4D08">
              <w:rPr>
                <w:rFonts w:ascii="Arial" w:hAnsi="Arial" w:cs="Arial"/>
                <w:sz w:val="22"/>
                <w:szCs w:val="22"/>
              </w:rPr>
              <w:t>JUNTO AO CENTRO MUNICIPAL DE SAUDE DE FLOR DO SERTÃO COM CARGA HORARIA SEMANAL DE 20 HORAS, CONFORME A NECESSIDADE DO MUNICIPIO.</w:t>
            </w:r>
          </w:p>
        </w:tc>
        <w:tc>
          <w:tcPr>
            <w:tcW w:w="1502" w:type="dxa"/>
          </w:tcPr>
          <w:p w:rsidR="00820982" w:rsidRDefault="00820982" w:rsidP="002D6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0982" w:rsidRDefault="00820982" w:rsidP="002D6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0982" w:rsidRPr="00D40C83" w:rsidRDefault="00820982" w:rsidP="002D6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4.500,00</w:t>
            </w:r>
          </w:p>
        </w:tc>
      </w:tr>
    </w:tbl>
    <w:p w:rsidR="00820982" w:rsidRPr="00CD045F" w:rsidRDefault="00820982" w:rsidP="00820982">
      <w:pPr>
        <w:jc w:val="both"/>
        <w:rPr>
          <w:rFonts w:ascii="Arial" w:hAnsi="Arial" w:cs="Arial"/>
          <w:b/>
          <w:sz w:val="22"/>
          <w:szCs w:val="22"/>
        </w:rPr>
      </w:pPr>
    </w:p>
    <w:p w:rsidR="00820982" w:rsidRDefault="00820982" w:rsidP="00820982">
      <w:pPr>
        <w:pStyle w:val="Corpodetexto"/>
        <w:ind w:right="-93"/>
        <w:rPr>
          <w:b/>
        </w:rPr>
      </w:pPr>
      <w:r>
        <w:rPr>
          <w:b/>
        </w:rPr>
        <w:t>Os Serviços deverão ser realizados conforme Demanda e horários estipulados pela Secretaria de Saúde.</w:t>
      </w:r>
    </w:p>
    <w:p w:rsidR="00820982" w:rsidRDefault="00820982" w:rsidP="00820982">
      <w:pPr>
        <w:pStyle w:val="Corpodetexto"/>
        <w:ind w:right="-93"/>
        <w:rPr>
          <w:b/>
          <w:bCs/>
        </w:rPr>
      </w:pPr>
    </w:p>
    <w:p w:rsidR="00820982" w:rsidRDefault="00820982" w:rsidP="00820982">
      <w:pPr>
        <w:pStyle w:val="SemEspaamento"/>
        <w:rPr>
          <w:rFonts w:ascii="Arial" w:hAnsi="Arial" w:cs="Arial"/>
          <w:b/>
        </w:rPr>
      </w:pPr>
      <w:r w:rsidRPr="00D8074D">
        <w:rPr>
          <w:rFonts w:ascii="Arial" w:hAnsi="Arial" w:cs="Arial"/>
          <w:b/>
        </w:rPr>
        <w:t>ATRIBUIÇÕES DA FARMACEUTICA CONTRATADA:</w:t>
      </w:r>
    </w:p>
    <w:p w:rsidR="00820982" w:rsidRPr="00D8074D" w:rsidRDefault="00820982" w:rsidP="00820982">
      <w:pPr>
        <w:pStyle w:val="SemEspaamento"/>
        <w:rPr>
          <w:rFonts w:ascii="Arial" w:hAnsi="Arial" w:cs="Arial"/>
          <w:b/>
        </w:rPr>
      </w:pP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Controle de Estoque de Medicamentos;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Reposição de Medicamentos;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Alimentação do Sistema Informatizado;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Dispensação de medicamentos;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 xml:space="preserve">Atualização de Cadastro de Pacientes com Doenças Crônicas, 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Registro de Entorpecentes e Psicotrópicos receitados fornecidos conforme procedimentos exigidos pela vigilância sanitária;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Controle e reposição do carinho de emergência juntamente com a equipe de enfermagem;</w:t>
      </w:r>
    </w:p>
    <w:p w:rsidR="00820982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050A1">
        <w:rPr>
          <w:rFonts w:ascii="Arial" w:hAnsi="Arial" w:cs="Arial"/>
        </w:rPr>
        <w:t>Realizar a dispensação de medicamentos em casos de emergência (altas hospitalares que necessitam fazer uso do medicamento imediatamente) em horários que a unidade estará fechada e realizar as demais tarefas que pertence a função.</w:t>
      </w:r>
    </w:p>
    <w:p w:rsidR="00820982" w:rsidRPr="006050A1" w:rsidRDefault="00820982" w:rsidP="00820982">
      <w:pPr>
        <w:pStyle w:val="SemEspaamento"/>
        <w:numPr>
          <w:ilvl w:val="0"/>
          <w:numId w:val="1"/>
        </w:numPr>
        <w:ind w:left="0" w:firstLine="0"/>
        <w:rPr>
          <w:rFonts w:ascii="Arial" w:hAnsi="Arial" w:cs="Arial"/>
        </w:rPr>
      </w:pPr>
    </w:p>
    <w:p w:rsidR="00820982" w:rsidRDefault="00820982" w:rsidP="00820982">
      <w:pPr>
        <w:pStyle w:val="Corpodetexto"/>
        <w:ind w:right="-93"/>
        <w:rPr>
          <w:rFonts w:eastAsia="Batang"/>
          <w:b/>
          <w:iCs/>
        </w:rPr>
      </w:pPr>
      <w:r w:rsidRPr="00ED7D34">
        <w:rPr>
          <w:b/>
          <w:bCs/>
        </w:rPr>
        <w:t xml:space="preserve">CLÁUSULA SEGUNDA – </w:t>
      </w:r>
      <w:r w:rsidRPr="00ED7D34">
        <w:rPr>
          <w:rFonts w:eastAsia="Batang"/>
          <w:b/>
          <w:iCs/>
        </w:rPr>
        <w:t>DA VIGÊNCIA DO CONTRATO</w:t>
      </w:r>
    </w:p>
    <w:p w:rsidR="00820982" w:rsidRPr="00ED7D34" w:rsidRDefault="00820982" w:rsidP="00820982">
      <w:pPr>
        <w:pStyle w:val="Corpodetexto"/>
        <w:ind w:right="-93"/>
        <w:rPr>
          <w:rFonts w:eastAsia="Batang"/>
          <w:b/>
          <w:iCs/>
        </w:rPr>
      </w:pPr>
    </w:p>
    <w:p w:rsidR="00820982" w:rsidRPr="005A4336" w:rsidRDefault="00820982" w:rsidP="00820982">
      <w:pPr>
        <w:pStyle w:val="Corpodetexto"/>
        <w:rPr>
          <w:rFonts w:eastAsia="Batang"/>
        </w:rPr>
      </w:pPr>
      <w:r w:rsidRPr="00040376">
        <w:rPr>
          <w:rFonts w:eastAsia="Batang"/>
        </w:rPr>
        <w:lastRenderedPageBreak/>
        <w:t xml:space="preserve">O prazo de vigência do contrato será </w:t>
      </w:r>
      <w:r>
        <w:rPr>
          <w:rFonts w:eastAsia="Batang"/>
        </w:rPr>
        <w:t>até 31 de dezembro de 2022</w:t>
      </w:r>
      <w:r w:rsidRPr="00040376">
        <w:rPr>
          <w:rFonts w:eastAsia="Batang"/>
        </w:rPr>
        <w:t xml:space="preserve"> contados após a data de assinatura, podendo ser renovado/prorrogado até o limite de 60 meses, de acordo com o estabelecido em Lei, a critério e conveniência administrativa</w:t>
      </w:r>
      <w:r w:rsidRPr="00040376">
        <w:t>.</w:t>
      </w:r>
    </w:p>
    <w:p w:rsidR="00820982" w:rsidRPr="005A4336" w:rsidRDefault="00820982" w:rsidP="00820982">
      <w:pPr>
        <w:jc w:val="both"/>
        <w:rPr>
          <w:rFonts w:ascii="Arial" w:hAnsi="Arial" w:cs="Arial"/>
          <w:sz w:val="22"/>
          <w:szCs w:val="22"/>
        </w:rPr>
      </w:pPr>
    </w:p>
    <w:p w:rsidR="00820982" w:rsidRPr="009E0093" w:rsidRDefault="00820982" w:rsidP="00820982">
      <w:pPr>
        <w:pStyle w:val="Ttulo8"/>
        <w:ind w:right="-93"/>
        <w:jc w:val="both"/>
        <w:rPr>
          <w:rFonts w:ascii="Arial" w:hAnsi="Arial" w:cs="Arial"/>
          <w:b/>
          <w:i/>
          <w:sz w:val="22"/>
          <w:szCs w:val="22"/>
        </w:rPr>
      </w:pPr>
      <w:r w:rsidRPr="009E0093">
        <w:rPr>
          <w:rFonts w:ascii="Arial" w:hAnsi="Arial" w:cs="Arial"/>
          <w:b/>
          <w:i/>
          <w:sz w:val="22"/>
          <w:szCs w:val="22"/>
        </w:rPr>
        <w:t>CLAUSULA TERCEIRA – DA FORMA DE REALIZAÇÃO DOS SERVIÇOS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 Serviços deverão ser realizados no Centro Municipal de Saúde conforme abaixo:</w:t>
      </w: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C667B2">
        <w:rPr>
          <w:rFonts w:ascii="Arial" w:hAnsi="Arial" w:cs="Arial"/>
          <w:color w:val="000000"/>
          <w:sz w:val="22"/>
          <w:szCs w:val="22"/>
        </w:rPr>
        <w:t xml:space="preserve">egunda–feira </w:t>
      </w:r>
      <w:r>
        <w:rPr>
          <w:rFonts w:ascii="Arial" w:hAnsi="Arial" w:cs="Arial"/>
          <w:color w:val="000000"/>
          <w:sz w:val="22"/>
          <w:szCs w:val="22"/>
        </w:rPr>
        <w:t>a Sexta – Feira no período noturno das 18:00 as 21:00 horas e nos sábados das 07:00 as 12:00 horas.</w:t>
      </w: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 Horários e dias poderão ser alterados conforme a necessidade do Município de Flor do Sertão. </w:t>
      </w: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O recebimento definitivo dar-se-á após a conferência e aceitação do setor requisitante.</w:t>
      </w:r>
    </w:p>
    <w:p w:rsidR="00820982" w:rsidRPr="00F03955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0982" w:rsidRDefault="00820982" w:rsidP="008209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A administração rejeitará o fornecimento executado em desacordo com os termos deste edital.</w:t>
      </w:r>
    </w:p>
    <w:p w:rsidR="00820982" w:rsidRPr="00ED7D34" w:rsidRDefault="00820982" w:rsidP="00820982">
      <w:pPr>
        <w:tabs>
          <w:tab w:val="left" w:pos="284"/>
        </w:tabs>
        <w:overflowPunct w:val="0"/>
        <w:autoSpaceDE w:val="0"/>
        <w:autoSpaceDN w:val="0"/>
        <w:adjustRightInd w:val="0"/>
        <w:ind w:right="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QUARTA – DO PREÇO E DO PAGAMENTO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valor ajustado será de R$</w:t>
      </w:r>
      <w:r>
        <w:rPr>
          <w:rFonts w:ascii="Arial" w:hAnsi="Arial" w:cs="Arial"/>
          <w:sz w:val="22"/>
          <w:szCs w:val="22"/>
        </w:rPr>
        <w:t xml:space="preserve"> 4.500,00</w:t>
      </w:r>
      <w:r>
        <w:rPr>
          <w:rFonts w:ascii="Arial" w:hAnsi="Arial" w:cs="Arial"/>
          <w:sz w:val="22"/>
          <w:szCs w:val="22"/>
        </w:rPr>
        <w:t>,</w:t>
      </w:r>
      <w:r w:rsidRPr="00ED7D34">
        <w:rPr>
          <w:rFonts w:ascii="Arial" w:hAnsi="Arial" w:cs="Arial"/>
          <w:sz w:val="22"/>
          <w:szCs w:val="22"/>
        </w:rPr>
        <w:t xml:space="preserve"> e o pagamento será efetuado </w:t>
      </w:r>
      <w:r>
        <w:rPr>
          <w:rFonts w:ascii="Arial" w:hAnsi="Arial" w:cs="Arial"/>
          <w:sz w:val="22"/>
          <w:szCs w:val="22"/>
        </w:rPr>
        <w:t xml:space="preserve">avista de acordo com a proposta </w:t>
      </w:r>
      <w:r w:rsidRPr="00ED7D34">
        <w:rPr>
          <w:rFonts w:ascii="Arial" w:hAnsi="Arial" w:cs="Arial"/>
          <w:sz w:val="22"/>
          <w:szCs w:val="22"/>
        </w:rPr>
        <w:t xml:space="preserve">e realização dos serviços, até o dia </w:t>
      </w:r>
      <w:r>
        <w:rPr>
          <w:rFonts w:ascii="Arial" w:hAnsi="Arial" w:cs="Arial"/>
          <w:sz w:val="22"/>
          <w:szCs w:val="22"/>
        </w:rPr>
        <w:t>10</w:t>
      </w:r>
      <w:r w:rsidRPr="00ED7D34">
        <w:rPr>
          <w:rFonts w:ascii="Arial" w:hAnsi="Arial" w:cs="Arial"/>
          <w:sz w:val="22"/>
          <w:szCs w:val="22"/>
        </w:rPr>
        <w:t xml:space="preserve">º (quinto) dia útil do mês </w:t>
      </w:r>
      <w:proofErr w:type="spellStart"/>
      <w:r w:rsidRPr="00ED7D34">
        <w:rPr>
          <w:rFonts w:ascii="Arial" w:hAnsi="Arial" w:cs="Arial"/>
          <w:sz w:val="22"/>
          <w:szCs w:val="22"/>
        </w:rPr>
        <w:t>subseqüente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ao da realização dos serviços.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QUINTA – DA FISCALIZAÇÃO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bCs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820982" w:rsidRPr="00ED7D34" w:rsidRDefault="00820982" w:rsidP="00820982">
      <w:pPr>
        <w:ind w:right="-93" w:firstLine="709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Saúde – Maristela Valer</w:t>
      </w:r>
    </w:p>
    <w:p w:rsidR="00820982" w:rsidRPr="00B66BED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6E075C" w:rsidRDefault="00820982" w:rsidP="00820982">
      <w:pPr>
        <w:spacing w:line="36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 xml:space="preserve">103010013.2.023000 - MANUTENÇÃO DE ATIVIDADES DE SAÚDE PUBLICA;                                                    </w:t>
      </w:r>
    </w:p>
    <w:p w:rsidR="00820982" w:rsidRPr="006E075C" w:rsidRDefault="00820982" w:rsidP="00820982">
      <w:pPr>
        <w:spacing w:line="36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>3.3.90.39.50.00.00 - SERVIÇOS MÉDICO-HOSPITALAR, ODONTOLÓGICO;</w:t>
      </w:r>
    </w:p>
    <w:p w:rsidR="00820982" w:rsidRDefault="00820982" w:rsidP="00820982">
      <w:pPr>
        <w:pStyle w:val="Corpodetexto"/>
        <w:ind w:right="-93"/>
        <w:rPr>
          <w:rFonts w:eastAsia="MS Mincho"/>
          <w:b/>
        </w:rPr>
      </w:pPr>
    </w:p>
    <w:p w:rsidR="00820982" w:rsidRPr="00ED7D34" w:rsidRDefault="00820982" w:rsidP="00820982">
      <w:pPr>
        <w:pStyle w:val="Corpodetexto"/>
        <w:ind w:right="-93"/>
        <w:rPr>
          <w:rFonts w:eastAsia="Batang"/>
          <w:b/>
          <w:iCs/>
        </w:rPr>
      </w:pPr>
      <w:r w:rsidRPr="00ED7D34">
        <w:rPr>
          <w:rFonts w:eastAsia="MS Mincho"/>
          <w:b/>
        </w:rPr>
        <w:t xml:space="preserve">CLÁUSULA SÉTIMA – </w:t>
      </w:r>
      <w:r w:rsidRPr="00ED7D34">
        <w:rPr>
          <w:rFonts w:eastAsia="Batang"/>
          <w:b/>
          <w:iCs/>
        </w:rPr>
        <w:t>DO REAJUSTAMENTO DE PREÇOS</w:t>
      </w:r>
    </w:p>
    <w:p w:rsidR="00820982" w:rsidRPr="00ED7D34" w:rsidRDefault="00820982" w:rsidP="00820982">
      <w:pPr>
        <w:pStyle w:val="Corpodetexto"/>
        <w:ind w:right="-93"/>
        <w:rPr>
          <w:rFonts w:eastAsia="Batang"/>
          <w:iCs/>
        </w:rPr>
      </w:pPr>
    </w:p>
    <w:p w:rsidR="00820982" w:rsidRPr="005A4336" w:rsidRDefault="00820982" w:rsidP="0082098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4336">
        <w:rPr>
          <w:rFonts w:ascii="Arial" w:eastAsia="Batang" w:hAnsi="Arial" w:cs="Arial"/>
          <w:sz w:val="22"/>
          <w:szCs w:val="22"/>
        </w:rPr>
        <w:lastRenderedPageBreak/>
        <w:t>O valor dos serviços, após o interstício de 12 (doze) meses de sua execução, poderá sofrer reajuste de acordo com a variação acumulada do IGP-M (Índice Geral de Preços do Mercado), divulgado pela Fundação Getúlio Vargas, ou outro índice oficial que venha a substituí-lo, nos termos da legislação vigente.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empresa vencedora obriga-se a: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não manterá nenhum vínculo com o Município.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Prestar os esclarecimentos que forem solicitados pelo Município, cujas reclamações se obrigam a atender prontamente.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Responder pelos danos que os serviços por ela prestados causarem a terceiros, na forma da Lei.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Fornecer ao Município, sempre que solicitado, informações ou esclarecimentos sobre os serviços prestados.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Prestar os serviços solicitados pelo município sempre com agilidade;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Cumprir as demais obrigações constantes neste Edital;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H – Outras atividades conforme especificação do edital.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É da contratada, a obrigação do pagamento de tributos que incidiram sobre os serviços prestados, em qualquer esfera, especialmente ISS e o INSS.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NONA – DAS OBRIGAÇÕES DO PODER PÚBLICO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Corpodetexto2"/>
        <w:spacing w:line="24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Uma vez firmada a contratação, o Poder Público, este se obriga a:</w:t>
      </w: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Fornecer à licitante, todas as informações relacionadas aos serviços do presente Edital.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820982" w:rsidRPr="00ED7D34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pStyle w:val="Corpodetexto"/>
        <w:ind w:right="-93"/>
        <w:rPr>
          <w:b/>
          <w:bCs/>
        </w:rPr>
      </w:pPr>
      <w:r w:rsidRPr="00ED7D34">
        <w:rPr>
          <w:b/>
          <w:bCs/>
        </w:rPr>
        <w:t>CLÁUSULA DÉCIMA – DAS PENALIDADES</w:t>
      </w:r>
    </w:p>
    <w:p w:rsidR="00820982" w:rsidRDefault="00820982" w:rsidP="00820982">
      <w:pPr>
        <w:pStyle w:val="Corpodetexto"/>
        <w:ind w:right="-93"/>
      </w:pPr>
      <w:r w:rsidRPr="00ED7D34">
        <w:lastRenderedPageBreak/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contratar com a Administração Pública, pelo prazo de até 05 anos, enquanto perdurarem os motivos determinantes da punição ou até que seja promovida a reabilitação perante a própria autoridade que aplicou a penalidade, sem prejuízo das multas previstas neste e das demais cominações legais.</w:t>
      </w:r>
    </w:p>
    <w:p w:rsidR="00820982" w:rsidRPr="00ED7D34" w:rsidRDefault="00820982" w:rsidP="00820982">
      <w:pPr>
        <w:pStyle w:val="Corpodetexto"/>
        <w:ind w:right="-93"/>
        <w:rPr>
          <w:bCs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Em caso de inexecução do objeto, erro de execução, execução imperfeita, demora na execução, inadimplemento ou não veracidade das informações prestadas, a Contratada estará sujeita às seguintes penalidades: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napToGrid w:val="0"/>
          <w:sz w:val="22"/>
          <w:szCs w:val="22"/>
        </w:rPr>
      </w:pPr>
      <w:r w:rsidRPr="00ED7D34">
        <w:rPr>
          <w:rFonts w:ascii="Arial" w:hAnsi="Arial" w:cs="Arial"/>
          <w:snapToGrid w:val="0"/>
          <w:sz w:val="22"/>
          <w:szCs w:val="22"/>
        </w:rPr>
        <w:t xml:space="preserve">A – </w:t>
      </w:r>
      <w:proofErr w:type="gramStart"/>
      <w:r w:rsidRPr="00ED7D34">
        <w:rPr>
          <w:rFonts w:ascii="Arial" w:hAnsi="Arial" w:cs="Arial"/>
          <w:snapToGrid w:val="0"/>
          <w:sz w:val="22"/>
          <w:szCs w:val="22"/>
        </w:rPr>
        <w:t>advertência</w:t>
      </w:r>
      <w:proofErr w:type="gramEnd"/>
      <w:r w:rsidRPr="00ED7D34">
        <w:rPr>
          <w:rFonts w:ascii="Arial" w:hAnsi="Arial" w:cs="Arial"/>
          <w:snapToGrid w:val="0"/>
          <w:sz w:val="22"/>
          <w:szCs w:val="22"/>
        </w:rPr>
        <w:t xml:space="preserve"> por escrito.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B – </w:t>
      </w:r>
      <w:proofErr w:type="gramStart"/>
      <w:r w:rsidRPr="00ED7D34">
        <w:rPr>
          <w:rFonts w:ascii="Arial" w:hAnsi="Arial" w:cs="Arial"/>
          <w:sz w:val="22"/>
          <w:szCs w:val="22"/>
        </w:rPr>
        <w:t>m</w:t>
      </w:r>
      <w:r w:rsidRPr="00ED7D34">
        <w:rPr>
          <w:rFonts w:ascii="Arial" w:hAnsi="Arial" w:cs="Arial"/>
          <w:bCs/>
          <w:sz w:val="22"/>
          <w:szCs w:val="22"/>
        </w:rPr>
        <w:t>ulta</w:t>
      </w:r>
      <w:proofErr w:type="gramEnd"/>
      <w:r w:rsidRPr="00ED7D34">
        <w:rPr>
          <w:rFonts w:ascii="Arial" w:hAnsi="Arial" w:cs="Arial"/>
          <w:bCs/>
          <w:sz w:val="22"/>
          <w:szCs w:val="22"/>
        </w:rPr>
        <w:t xml:space="preserve"> de </w:t>
      </w:r>
      <w:r w:rsidRPr="00ED7D34">
        <w:rPr>
          <w:rFonts w:ascii="Arial" w:hAnsi="Arial" w:cs="Arial"/>
          <w:sz w:val="22"/>
          <w:szCs w:val="22"/>
        </w:rPr>
        <w:t>5% sobre o valor total do contrato, por infração a qualquer cláusula ou condição do contrato.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Pr="00ED7D34">
        <w:rPr>
          <w:rFonts w:ascii="Arial" w:hAnsi="Arial" w:cs="Arial"/>
          <w:sz w:val="22"/>
          <w:szCs w:val="22"/>
        </w:rPr>
        <w:t>suspensão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do direito de licitar.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D – </w:t>
      </w:r>
      <w:proofErr w:type="gramStart"/>
      <w:r w:rsidRPr="00ED7D34">
        <w:rPr>
          <w:rFonts w:ascii="Arial" w:hAnsi="Arial" w:cs="Arial"/>
          <w:sz w:val="22"/>
          <w:szCs w:val="22"/>
        </w:rPr>
        <w:t>declaração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de inidoneidade.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No processo de aplicação de penalidades, é assegurado o direito ao contraditório e à ampla defesa, ficando esclarecido que o prazo para apresentação de defesa prévia será de 5 dias úteis contados da respectiva intimação.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820982" w:rsidRPr="00ED7D34" w:rsidRDefault="00820982" w:rsidP="00820982">
      <w:pPr>
        <w:pStyle w:val="Corpodetexto"/>
        <w:ind w:right="-93"/>
        <w:rPr>
          <w:b/>
          <w:bCs/>
        </w:rPr>
      </w:pPr>
      <w:r w:rsidRPr="00ED7D34">
        <w:rPr>
          <w:b/>
          <w:bCs/>
        </w:rPr>
        <w:t>CLÁUSULA DÉCIMA PRIMEIRA – DA RESCISÃO</w:t>
      </w:r>
    </w:p>
    <w:p w:rsidR="00820982" w:rsidRPr="00ED7D34" w:rsidRDefault="00820982" w:rsidP="00820982">
      <w:pPr>
        <w:pStyle w:val="Corpodetexto"/>
        <w:ind w:right="-93" w:firstLine="851"/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2"/>
          <w:sz w:val="22"/>
          <w:szCs w:val="22"/>
        </w:rPr>
      </w:pPr>
      <w:r w:rsidRPr="00ED7D34">
        <w:rPr>
          <w:rFonts w:ascii="Arial" w:hAnsi="Arial"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ascii="Arial" w:hAnsi="Arial" w:cs="Arial"/>
            <w:spacing w:val="-2"/>
            <w:sz w:val="22"/>
            <w:szCs w:val="22"/>
          </w:rPr>
          <w:t>77 a</w:t>
        </w:r>
      </w:smartTag>
      <w:r w:rsidRPr="00ED7D34">
        <w:rPr>
          <w:rFonts w:ascii="Arial" w:hAnsi="Arial" w:cs="Arial"/>
          <w:spacing w:val="-2"/>
          <w:sz w:val="22"/>
          <w:szCs w:val="22"/>
        </w:rPr>
        <w:t xml:space="preserve"> 80 da Lei Federal nº. 8.666 de 21 de junho de 1993.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2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Constituem motivos para rescisão do Contrato: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O não cumprimento de cláusulas contratuais, especificações, prazos e obrigações.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O cumprimento irregular de cláusulas contratuais, especificações, prazos e obrigações.</w:t>
      </w: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A lentidão do seu cumprimento.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O atraso injustificado da execução do contrato sem justa causa e prévia comunicação à Administração.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Razões de interesse público, de alta relevância e amplo conhecimento justificada e determinadas pela máxima autoridade Administrativa a que está subordinado o contrato e exaradas no processo Administrativo a que se refere o Contrato.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suspensões que totalizem o mesmo prazo, independentemente do pagamento obrigatório e outras previstas, assegurado ao contratado, nesses casos, o direito de optar pela suspensão do cumprimento das obrigações assumidas até que seja normalizada a situação.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G</w:t>
      </w:r>
      <w:r w:rsidRPr="00ED7D34">
        <w:rPr>
          <w:rFonts w:ascii="Arial" w:hAnsi="Arial" w:cs="Arial"/>
          <w:sz w:val="22"/>
          <w:szCs w:val="22"/>
        </w:rPr>
        <w:t xml:space="preserve"> – O atraso superior a 90 (noventa) dias dos pagamentos devidos pela Administração decorrentes dos serviços ou parcelas </w:t>
      </w:r>
      <w:proofErr w:type="gramStart"/>
      <w:r w:rsidRPr="00ED7D34">
        <w:rPr>
          <w:rFonts w:ascii="Arial" w:hAnsi="Arial" w:cs="Arial"/>
          <w:sz w:val="22"/>
          <w:szCs w:val="22"/>
        </w:rPr>
        <w:t>destes, já recebidos ou executados</w:t>
      </w:r>
      <w:proofErr w:type="gramEnd"/>
      <w:r w:rsidRPr="00ED7D34">
        <w:rPr>
          <w:rFonts w:ascii="Arial" w:hAnsi="Arial" w:cs="Arial"/>
          <w:sz w:val="22"/>
          <w:szCs w:val="22"/>
        </w:rPr>
        <w:t>, salva em caso de calamidade pública, grave perturbação da ordem interna ou guerra assegurado ao contratado o direito de optar pela suspensão do cumprimento de suas obrigações até que seja normalizada a situação.</w:t>
      </w: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Quanto à sua forma a rescisão poderá ser: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Judicial, nos termos da legislação.</w:t>
      </w:r>
    </w:p>
    <w:p w:rsidR="00820982" w:rsidRPr="00ED7D34" w:rsidRDefault="00820982" w:rsidP="00820982">
      <w:pPr>
        <w:widowControl w:val="0"/>
        <w:ind w:right="-93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 w:firstLine="708"/>
        <w:jc w:val="both"/>
        <w:rPr>
          <w:rFonts w:ascii="Arial" w:eastAsia="MS Mincho" w:hAnsi="Arial" w:cs="Arial"/>
          <w:b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O presente instrumento rege-se pelas disposições expressas na Lei Fed</w:t>
      </w:r>
      <w:r>
        <w:rPr>
          <w:rFonts w:ascii="Arial" w:eastAsia="MS Mincho" w:hAnsi="Arial" w:cs="Arial"/>
          <w:bCs/>
          <w:sz w:val="22"/>
          <w:szCs w:val="22"/>
        </w:rPr>
        <w:t>eral nº. 8.666/93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terceiros.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rasuras, para que produza seus jurídicos e legais efeitos.</w:t>
      </w:r>
    </w:p>
    <w:p w:rsidR="00820982" w:rsidRPr="00ED7D34" w:rsidRDefault="00820982" w:rsidP="0082098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820982" w:rsidRDefault="00820982" w:rsidP="00820982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 xml:space="preserve">Flor do Sertão - SC, aos </w:t>
      </w:r>
      <w:r>
        <w:rPr>
          <w:rFonts w:ascii="Arial" w:eastAsia="MS Mincho" w:hAnsi="Arial" w:cs="Arial"/>
          <w:spacing w:val="-2"/>
          <w:sz w:val="22"/>
          <w:szCs w:val="22"/>
        </w:rPr>
        <w:t>08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</w:t>
      </w:r>
      <w:r>
        <w:rPr>
          <w:rFonts w:ascii="Arial" w:eastAsia="MS Mincho" w:hAnsi="Arial" w:cs="Arial"/>
          <w:spacing w:val="-2"/>
          <w:sz w:val="22"/>
          <w:szCs w:val="22"/>
        </w:rPr>
        <w:t>s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do mês de </w:t>
      </w:r>
      <w:r>
        <w:rPr>
          <w:rFonts w:ascii="Arial" w:eastAsia="MS Mincho" w:hAnsi="Arial" w:cs="Arial"/>
          <w:spacing w:val="-2"/>
          <w:sz w:val="22"/>
          <w:szCs w:val="22"/>
        </w:rPr>
        <w:t>abril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>
        <w:rPr>
          <w:rFonts w:ascii="Arial" w:eastAsia="MS Mincho" w:hAnsi="Arial" w:cs="Arial"/>
          <w:spacing w:val="-2"/>
          <w:sz w:val="22"/>
          <w:szCs w:val="22"/>
        </w:rPr>
        <w:t>2022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820982" w:rsidRDefault="00820982" w:rsidP="00820982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</w:p>
    <w:p w:rsidR="00820982" w:rsidRDefault="00820982" w:rsidP="00820982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20982" w:rsidRPr="00092C75" w:rsidTr="00820982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0982" w:rsidRPr="008859BF" w:rsidRDefault="00820982" w:rsidP="002D6B08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LUANA ANDRESSA BASSANI</w:t>
            </w:r>
          </w:p>
        </w:tc>
      </w:tr>
      <w:tr w:rsidR="00820982" w:rsidRPr="00092C75" w:rsidTr="00820982">
        <w:trPr>
          <w:trHeight w:val="210"/>
          <w:jc w:val="center"/>
        </w:trPr>
        <w:tc>
          <w:tcPr>
            <w:tcW w:w="4820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095.718.709-27</w:t>
            </w:r>
          </w:p>
        </w:tc>
      </w:tr>
      <w:tr w:rsidR="00820982" w:rsidRPr="00092C75" w:rsidTr="00820982">
        <w:trPr>
          <w:trHeight w:val="210"/>
          <w:jc w:val="center"/>
        </w:trPr>
        <w:tc>
          <w:tcPr>
            <w:tcW w:w="4820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820982" w:rsidRDefault="00820982" w:rsidP="00820982">
      <w:pPr>
        <w:ind w:right="-93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820982" w:rsidRPr="00092C75" w:rsidTr="00820982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820982" w:rsidRPr="00092C75" w:rsidTr="00820982">
        <w:trPr>
          <w:jc w:val="center"/>
        </w:trPr>
        <w:tc>
          <w:tcPr>
            <w:tcW w:w="4756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820982" w:rsidRPr="00092C75" w:rsidRDefault="00820982" w:rsidP="002D6B08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C27053" w:rsidRDefault="00C27053">
      <w:bookmarkStart w:id="0" w:name="_GoBack"/>
      <w:bookmarkEnd w:id="0"/>
    </w:p>
    <w:sectPr w:rsidR="00C27053" w:rsidSect="00867D0E">
      <w:headerReference w:type="default" r:id="rId5"/>
      <w:footerReference w:type="default" r:id="rId6"/>
      <w:pgSz w:w="12240" w:h="15840"/>
      <w:pgMar w:top="2157" w:right="1134" w:bottom="1135" w:left="1134" w:header="720" w:footer="2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B" w:rsidRDefault="00820982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-706755</wp:posOffset>
          </wp:positionH>
          <wp:positionV relativeFrom="margin">
            <wp:posOffset>7684135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BB" w:rsidRDefault="008209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259715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4B7"/>
    <w:multiLevelType w:val="hybridMultilevel"/>
    <w:tmpl w:val="38B01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2"/>
    <w:rsid w:val="00820982"/>
    <w:rsid w:val="00C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CA33A0D"/>
  <w15:chartTrackingRefBased/>
  <w15:docId w15:val="{06B9CBC9-3CBE-4598-B96C-A3759F0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20982"/>
    <w:pPr>
      <w:keepNext/>
      <w:jc w:val="center"/>
      <w:outlineLvl w:val="7"/>
    </w:pPr>
    <w:rPr>
      <w:rFonts w:eastAsia="MS Mincho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820982"/>
    <w:rPr>
      <w:rFonts w:ascii="Times New Roman" w:eastAsia="MS Mincho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82098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982"/>
    <w:rPr>
      <w:rFonts w:ascii="Arial" w:eastAsia="Times New Roman" w:hAnsi="Arial" w:cs="Arial"/>
    </w:rPr>
  </w:style>
  <w:style w:type="paragraph" w:styleId="TextosemFormatao">
    <w:name w:val="Plain Text"/>
    <w:basedOn w:val="Normal"/>
    <w:link w:val="TextosemFormataoChar"/>
    <w:rsid w:val="0082098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2098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209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209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209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9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209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9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8209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1765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2022-04-08T19:21:00Z</dcterms:created>
  <dcterms:modified xsi:type="dcterms:W3CDTF">2022-04-08T19:26:00Z</dcterms:modified>
</cp:coreProperties>
</file>