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005</w:t>
      </w:r>
      <w:r w:rsidRPr="00ED7D34">
        <w:rPr>
          <w:rFonts w:ascii="Arial" w:eastAsia="MS Mincho" w:hAnsi="Arial" w:cs="Arial"/>
          <w:b/>
          <w:sz w:val="22"/>
          <w:szCs w:val="22"/>
        </w:rPr>
        <w:t>/</w:t>
      </w:r>
      <w:r>
        <w:rPr>
          <w:rFonts w:ascii="Arial" w:eastAsia="MS Mincho" w:hAnsi="Arial" w:cs="Arial"/>
          <w:b/>
          <w:sz w:val="22"/>
          <w:szCs w:val="22"/>
        </w:rPr>
        <w:t>2022</w:t>
      </w:r>
    </w:p>
    <w:p w:rsidR="002A425F" w:rsidRPr="00E246E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PROCESSO LICITATÓRIO Nº. </w:t>
      </w:r>
      <w:r>
        <w:rPr>
          <w:rFonts w:ascii="Arial" w:eastAsia="MS Mincho" w:hAnsi="Arial" w:cs="Arial"/>
          <w:b/>
          <w:sz w:val="22"/>
          <w:szCs w:val="22"/>
        </w:rPr>
        <w:t>01/2022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PREGÃO PRESENCIAL Nº. 01/2022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127960" w:rsidRDefault="002A425F" w:rsidP="002A425F">
      <w:pPr>
        <w:ind w:right="-142"/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</w:t>
      </w:r>
      <w:r w:rsidRPr="00ED134D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2A425F">
        <w:rPr>
          <w:rFonts w:ascii="Arial" w:hAnsi="Arial" w:cs="Arial"/>
          <w:b/>
          <w:sz w:val="22"/>
          <w:szCs w:val="22"/>
        </w:rPr>
        <w:t>LEOCLIDES PEDRO PELISON 84251425987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01.851.098/0001-53</w:t>
      </w:r>
      <w:r w:rsidRPr="00127960">
        <w:rPr>
          <w:rFonts w:ascii="Arial" w:hAnsi="Arial" w:cs="Arial"/>
          <w:sz w:val="22"/>
          <w:szCs w:val="22"/>
        </w:rPr>
        <w:t>, com sede na</w:t>
      </w:r>
      <w:r>
        <w:rPr>
          <w:rFonts w:ascii="Arial" w:hAnsi="Arial" w:cs="Arial"/>
          <w:sz w:val="22"/>
          <w:szCs w:val="22"/>
        </w:rPr>
        <w:t xml:space="preserve"> Linha Pedra Branca, interior na</w:t>
      </w:r>
      <w:r w:rsidRPr="00127960">
        <w:rPr>
          <w:rFonts w:ascii="Arial" w:hAnsi="Arial" w:cs="Arial"/>
          <w:sz w:val="22"/>
          <w:szCs w:val="22"/>
        </w:rPr>
        <w:t xml:space="preserve"> 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>, neste ato representada pelo Sr.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Leoclides</w:t>
      </w:r>
      <w:proofErr w:type="spellEnd"/>
      <w:r>
        <w:rPr>
          <w:rFonts w:ascii="Arial" w:hAnsi="Arial" w:cs="Arial"/>
          <w:sz w:val="22"/>
          <w:szCs w:val="22"/>
        </w:rPr>
        <w:t xml:space="preserve"> Pedro </w:t>
      </w:r>
      <w:proofErr w:type="spellStart"/>
      <w:r>
        <w:rPr>
          <w:rFonts w:ascii="Arial" w:hAnsi="Arial" w:cs="Arial"/>
          <w:sz w:val="22"/>
          <w:szCs w:val="22"/>
        </w:rPr>
        <w:t>Pelison</w:t>
      </w:r>
      <w:proofErr w:type="spellEnd"/>
      <w:r w:rsidRPr="00127960">
        <w:rPr>
          <w:rFonts w:ascii="Arial" w:hAnsi="Arial" w:cs="Arial"/>
          <w:sz w:val="22"/>
          <w:szCs w:val="22"/>
        </w:rPr>
        <w:t xml:space="preserve">, inscrito </w:t>
      </w:r>
      <w:r>
        <w:rPr>
          <w:rFonts w:ascii="Arial" w:hAnsi="Arial" w:cs="Arial"/>
          <w:sz w:val="22"/>
          <w:szCs w:val="22"/>
        </w:rPr>
        <w:t>no CPF sob o n°. 842.514.259-87 e cédula de identidade nº. 2997419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 w:rsidRPr="00127960">
        <w:rPr>
          <w:rFonts w:ascii="Arial" w:eastAsia="Batang" w:hAnsi="Arial" w:cs="Arial"/>
          <w:sz w:val="22"/>
          <w:szCs w:val="22"/>
        </w:rPr>
        <w:t xml:space="preserve">, Lei Orgânica Municipal e Licitação nº. </w:t>
      </w:r>
      <w:r>
        <w:rPr>
          <w:rFonts w:ascii="Arial" w:eastAsia="Batang" w:hAnsi="Arial" w:cs="Arial"/>
          <w:sz w:val="22"/>
          <w:szCs w:val="22"/>
        </w:rPr>
        <w:t>01/2022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Pregão Presencial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01/2022,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2A425F" w:rsidRPr="00406CB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bCs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Este contrato tem origem no Edital do Processo Licitatório nº. </w:t>
      </w:r>
      <w:r>
        <w:rPr>
          <w:rFonts w:ascii="Arial" w:hAnsi="Arial" w:cs="Arial"/>
          <w:sz w:val="22"/>
          <w:szCs w:val="22"/>
        </w:rPr>
        <w:t>01/2022</w:t>
      </w:r>
      <w:r w:rsidRPr="00ED7D34">
        <w:rPr>
          <w:rFonts w:ascii="Arial" w:hAnsi="Arial" w:cs="Arial"/>
          <w:sz w:val="22"/>
          <w:szCs w:val="22"/>
        </w:rPr>
        <w:t>, na modalid</w:t>
      </w:r>
      <w:r w:rsidRPr="00ED7D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de Pregão Presencial nº. 01/2022</w:t>
      </w:r>
      <w:r w:rsidRPr="00ED7D34">
        <w:rPr>
          <w:rFonts w:ascii="Arial" w:hAnsi="Arial" w:cs="Arial"/>
          <w:sz w:val="22"/>
          <w:szCs w:val="22"/>
        </w:rPr>
        <w:t xml:space="preserve">, que tem por objeto a </w:t>
      </w:r>
      <w:r w:rsidRPr="005E624F">
        <w:rPr>
          <w:rFonts w:ascii="Arial" w:hAnsi="Arial" w:cs="Arial"/>
          <w:bCs/>
          <w:sz w:val="22"/>
          <w:szCs w:val="22"/>
        </w:rPr>
        <w:t>CONTRATAÇÃO DE SERVIÇOS DE TRANSPORTE ESCOLAR PARA O ANO LETIVO DE 20</w:t>
      </w:r>
      <w:r>
        <w:rPr>
          <w:rFonts w:ascii="Arial" w:hAnsi="Arial" w:cs="Arial"/>
          <w:bCs/>
          <w:sz w:val="22"/>
          <w:szCs w:val="22"/>
        </w:rPr>
        <w:t>22,</w:t>
      </w:r>
      <w:r w:rsidRPr="001F66EF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conforme as especificações e quantidades abaixo descritos: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5528"/>
        <w:gridCol w:w="1701"/>
      </w:tblGrid>
      <w:tr w:rsidR="002A425F" w:rsidRPr="00CF7D2E" w:rsidTr="00D636DA">
        <w:tc>
          <w:tcPr>
            <w:tcW w:w="959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D2E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992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D2E">
              <w:rPr>
                <w:rFonts w:ascii="Arial" w:hAnsi="Arial"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709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D2E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5528" w:type="dxa"/>
            <w:shd w:val="clear" w:color="auto" w:fill="auto"/>
          </w:tcPr>
          <w:p w:rsidR="002A425F" w:rsidRPr="00CF7D2E" w:rsidRDefault="002A425F" w:rsidP="00D636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D2E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701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PREÇO UNIT. </w:t>
            </w:r>
          </w:p>
        </w:tc>
      </w:tr>
      <w:tr w:rsidR="002A425F" w:rsidRPr="00CF7D2E" w:rsidTr="00D636DA">
        <w:tc>
          <w:tcPr>
            <w:tcW w:w="959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11.600</w:t>
            </w:r>
          </w:p>
        </w:tc>
        <w:tc>
          <w:tcPr>
            <w:tcW w:w="709" w:type="dxa"/>
            <w:shd w:val="clear" w:color="auto" w:fill="auto"/>
          </w:tcPr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5528" w:type="dxa"/>
            <w:shd w:val="clear" w:color="auto" w:fill="auto"/>
          </w:tcPr>
          <w:p w:rsidR="002A425F" w:rsidRPr="00CF7D2E" w:rsidRDefault="002A425F" w:rsidP="00D636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 xml:space="preserve">SERVIÇO DE TRANSPORTE COLETIVO COM O SEGUINTE TRAJETO: INICIANDO NO DO TURNO MATUTINO NA LINHA PEDRA BRANCA NA PROPRIEDADE DO SR. FLORIBERTO JAPPE, SEGUINDO SENTIDO A COMUNIDADE DE LINHA PEDRA BRANCA, ATE O CRUZAMENTO COM A ESTRADA PRINCIPAL, SEGUINDO A MESMA ATÉ A COMUNIDADE DE LINHA FLOR DA SERRA PASSANDO PELO SALÃO COMUNITÁRIO DA Lª. FLOR DA SERRA, PASSANDO PELA ESTRADA GERAL DE ACESSO A PROPRIEDADE DO SR. VILSO PIZZATTO COM DIREÇÃO À COMUNIDADE DE Lª. MARMELEIRO ATÉ A ENCRUZILHADA JUNTO À PROPRIEDADE DO SR. JORGE RAMOS, SEGUINDO COM DESTINO A SEDE DO MUNICÍPIO. RETORNANDO AO MESMO TRAJETO NO TÉRMINO DA AULA DO TURNO MATUTINO E VESPERTINO, PERCORRENDO </w:t>
            </w:r>
            <w:r w:rsidRPr="00CF7D2E">
              <w:rPr>
                <w:rFonts w:ascii="Arial" w:hAnsi="Arial" w:cs="Arial"/>
                <w:b/>
                <w:sz w:val="22"/>
                <w:szCs w:val="22"/>
              </w:rPr>
              <w:t xml:space="preserve">UM TOTAL DE </w:t>
            </w:r>
            <w:smartTag w:uri="urn:schemas-microsoft-com:office:smarttags" w:element="metricconverter">
              <w:smartTagPr>
                <w:attr w:name="ProductID" w:val="58 KM"/>
              </w:smartTagPr>
              <w:r w:rsidRPr="00CF7D2E">
                <w:rPr>
                  <w:rFonts w:ascii="Arial" w:hAnsi="Arial" w:cs="Arial"/>
                  <w:b/>
                  <w:sz w:val="22"/>
                  <w:szCs w:val="22"/>
                </w:rPr>
                <w:t>58 KM</w:t>
              </w:r>
            </w:smartTag>
            <w:r w:rsidRPr="00CF7D2E">
              <w:rPr>
                <w:rFonts w:ascii="Arial" w:hAnsi="Arial" w:cs="Arial"/>
                <w:b/>
                <w:sz w:val="22"/>
                <w:szCs w:val="22"/>
              </w:rPr>
              <w:t xml:space="preserve"> DIÁRIOS.</w:t>
            </w:r>
          </w:p>
        </w:tc>
        <w:tc>
          <w:tcPr>
            <w:tcW w:w="1701" w:type="dxa"/>
            <w:shd w:val="clear" w:color="auto" w:fill="auto"/>
          </w:tcPr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R$ 5,93</w:t>
            </w:r>
          </w:p>
        </w:tc>
      </w:tr>
      <w:tr w:rsidR="002A425F" w:rsidRPr="00CF7D2E" w:rsidTr="00D636DA">
        <w:tc>
          <w:tcPr>
            <w:tcW w:w="959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13.400</w:t>
            </w:r>
          </w:p>
        </w:tc>
        <w:tc>
          <w:tcPr>
            <w:tcW w:w="709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5528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 xml:space="preserve">SERVIÇO DE TRANSPORTE COLETIVO COM O SEGUINTE TRAJETO: INICIANDO O ROTEIRO NO TURNO NOTURNO NO COLÉGIO EDUCACIONAL PADRE LUIZ MUHL, COM DESTINO A MARAVILHA PELA BR 282 ATÉ A UNOESC, ICEU, INEP E UNOPAR, RETORNANDO AO MESMO LOCAL DE ORIGEM PELO MESMO TRAJETO NO FINAL DAS AULAS E SEGUINDO A BR 282 ATÉ A ENTRADA DA LINHA FUZIL E RETORNANDO PELO TREVO DE </w:t>
            </w:r>
            <w:r w:rsidRPr="00CF7D2E">
              <w:rPr>
                <w:rFonts w:ascii="Arial" w:hAnsi="Arial" w:cs="Arial"/>
                <w:sz w:val="22"/>
                <w:szCs w:val="22"/>
              </w:rPr>
              <w:lastRenderedPageBreak/>
              <w:t xml:space="preserve">ACESSO, PERCORRENDO UM TOTAL DE </w:t>
            </w:r>
            <w:smartTag w:uri="urn:schemas-microsoft-com:office:smarttags" w:element="metricconverter">
              <w:smartTagPr>
                <w:attr w:name="ProductID" w:val="70 KM"/>
              </w:smartTagPr>
              <w:r w:rsidRPr="00CF7D2E">
                <w:rPr>
                  <w:rFonts w:ascii="Arial" w:hAnsi="Arial" w:cs="Arial"/>
                  <w:b/>
                  <w:sz w:val="22"/>
                  <w:szCs w:val="22"/>
                </w:rPr>
                <w:t>70 KM</w:t>
              </w:r>
            </w:smartTag>
            <w:r w:rsidRPr="00CF7D2E">
              <w:rPr>
                <w:rFonts w:ascii="Arial" w:hAnsi="Arial" w:cs="Arial"/>
                <w:b/>
                <w:sz w:val="22"/>
                <w:szCs w:val="22"/>
              </w:rPr>
              <w:t xml:space="preserve"> DIÁRIOS.</w:t>
            </w:r>
          </w:p>
        </w:tc>
        <w:tc>
          <w:tcPr>
            <w:tcW w:w="1701" w:type="dxa"/>
            <w:shd w:val="clear" w:color="auto" w:fill="auto"/>
          </w:tcPr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R$ 5,93</w:t>
            </w:r>
          </w:p>
        </w:tc>
      </w:tr>
      <w:tr w:rsidR="002A425F" w:rsidRPr="00CF7D2E" w:rsidTr="00D636DA">
        <w:tc>
          <w:tcPr>
            <w:tcW w:w="959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12.000</w:t>
            </w:r>
          </w:p>
        </w:tc>
        <w:tc>
          <w:tcPr>
            <w:tcW w:w="709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5528" w:type="dxa"/>
            <w:shd w:val="clear" w:color="auto" w:fill="auto"/>
          </w:tcPr>
          <w:p w:rsidR="002A425F" w:rsidRPr="00CF7D2E" w:rsidRDefault="002A425F" w:rsidP="00D636DA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D2E">
              <w:rPr>
                <w:rFonts w:ascii="Arial" w:hAnsi="Arial" w:cs="Arial"/>
                <w:sz w:val="22"/>
                <w:szCs w:val="22"/>
              </w:rPr>
              <w:t xml:space="preserve">SERVIÇO DE TRANSPORTE COLETIVO COM O SEGUINTE TRAJETO: INICIANDO NO TURNO MATUTINO, SAINDO DA PROPRIEDADE DE DÉCIO HEIMBURG, PASSANDO PELA LINHA SARANDI ATÉ A PROPRIEDADE DE SÉRGIO RAMOS, RETORNANDO ATE A ESCOLA. APÓS SE DIRIGINDO ATE A PROPRIEDADE DA FAMILIA CARDOSO, SEGUINDO ATE A CASA DE JOÃO WAGNER, RETORNANDO ATE SC 161 E SEGUINDO ATE A MORADIA DO SR. MINGO PUTTLITZ, FAZENDO O RETORNO ATE SC 161 E DIRIGINDO-SE ATE A PROPRIEDADE DO SR. GELSON GIACOMELLI RETORNANDO PELA MESMA, INDO ATÉ A SEDE DA ASSISP E RETORNANDO PARA O CENTRO PADRE LUIS MUHL.NO FINAL DO PERIODO RETORNANDO PELO MESMO TRAJETO PARA DEIXAR OS ALUNOS EM SEUS LARES. NO PERIODO VESPERTINO INICIANDO NO MESMO LOCAL E PERCORRENDO TODO O TRAJETO ACIMA CITADO NO TURNO MATUTINO, TRAZENDO OS ALUNOS PARA A ESCOLA E NO FINAL DO PERIODO LEVA-LOS PARA SUAS RESIDENCIAS, SENDO UM </w:t>
            </w:r>
            <w:r w:rsidRPr="00CF7D2E">
              <w:rPr>
                <w:rFonts w:ascii="Arial" w:hAnsi="Arial" w:cs="Arial"/>
                <w:b/>
                <w:sz w:val="22"/>
                <w:szCs w:val="22"/>
              </w:rPr>
              <w:t>TOTAL DE 60 KM DIÁRIOS.</w:t>
            </w:r>
          </w:p>
        </w:tc>
        <w:tc>
          <w:tcPr>
            <w:tcW w:w="1701" w:type="dxa"/>
            <w:shd w:val="clear" w:color="auto" w:fill="auto"/>
          </w:tcPr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425F" w:rsidRPr="00CF7D2E" w:rsidRDefault="002A425F" w:rsidP="00D636DA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R$ 5,21</w:t>
            </w:r>
          </w:p>
        </w:tc>
      </w:tr>
    </w:tbl>
    <w:p w:rsidR="002A425F" w:rsidRDefault="002A425F" w:rsidP="002A425F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ind w:right="51"/>
        <w:jc w:val="both"/>
        <w:rPr>
          <w:rFonts w:ascii="Arial" w:hAnsi="Arial" w:cs="Arial"/>
          <w:sz w:val="22"/>
          <w:szCs w:val="22"/>
        </w:rPr>
      </w:pP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</w:t>
      </w:r>
      <w:r w:rsidRPr="00EF636E">
        <w:rPr>
          <w:rFonts w:ascii="Arial" w:hAnsi="Arial" w:cs="Arial"/>
          <w:sz w:val="22"/>
          <w:szCs w:val="22"/>
        </w:rPr>
        <w:t>título</w:t>
      </w:r>
      <w:r w:rsidRPr="00EF636E">
        <w:rPr>
          <w:rFonts w:ascii="Arial" w:hAnsi="Arial" w:cs="Arial"/>
          <w:sz w:val="22"/>
          <w:szCs w:val="22"/>
        </w:rPr>
        <w:t xml:space="preserve"> estimativo. A retirada será conforme a demanda </w:t>
      </w:r>
      <w:r>
        <w:rPr>
          <w:rFonts w:ascii="Arial" w:hAnsi="Arial" w:cs="Arial"/>
          <w:sz w:val="22"/>
          <w:szCs w:val="22"/>
        </w:rPr>
        <w:t>da administração.</w:t>
      </w: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Pr="002A3E9B" w:rsidRDefault="002A425F" w:rsidP="002A425F">
      <w:pPr>
        <w:jc w:val="both"/>
        <w:rPr>
          <w:rFonts w:ascii="Arial" w:hAnsi="Arial" w:cs="Arial"/>
          <w:sz w:val="22"/>
          <w:szCs w:val="22"/>
        </w:rPr>
      </w:pPr>
      <w:r w:rsidRPr="002A3E9B">
        <w:rPr>
          <w:rFonts w:ascii="Arial" w:hAnsi="Arial" w:cs="Arial"/>
          <w:sz w:val="22"/>
          <w:szCs w:val="22"/>
        </w:rPr>
        <w:t>No item 2 As aulas iniciam no turno noturno as 19h00 horas, a empresa vencedora deverá ter concluído o trajeto até no máximo 10 minutos antes do início das aulas e estarem nos locais de embarque 10 minutos antes do término das aulas.</w:t>
      </w:r>
    </w:p>
    <w:p w:rsidR="002A425F" w:rsidRPr="002A3E9B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Pr="002A3E9B" w:rsidRDefault="002A425F" w:rsidP="002A425F">
      <w:pPr>
        <w:jc w:val="both"/>
        <w:rPr>
          <w:rFonts w:ascii="Arial" w:hAnsi="Arial" w:cs="Arial"/>
          <w:sz w:val="22"/>
          <w:szCs w:val="22"/>
        </w:rPr>
      </w:pPr>
      <w:r w:rsidRPr="002A3E9B">
        <w:rPr>
          <w:rFonts w:ascii="Arial" w:hAnsi="Arial" w:cs="Arial"/>
          <w:sz w:val="22"/>
          <w:szCs w:val="22"/>
        </w:rPr>
        <w:t xml:space="preserve">No item </w:t>
      </w:r>
      <w:r>
        <w:rPr>
          <w:rFonts w:ascii="Arial" w:hAnsi="Arial" w:cs="Arial"/>
          <w:sz w:val="22"/>
          <w:szCs w:val="22"/>
        </w:rPr>
        <w:t>1</w:t>
      </w:r>
      <w:r w:rsidRPr="002A3E9B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3</w:t>
      </w:r>
      <w:r w:rsidRPr="002A3E9B">
        <w:rPr>
          <w:rFonts w:ascii="Arial" w:hAnsi="Arial" w:cs="Arial"/>
          <w:sz w:val="22"/>
          <w:szCs w:val="22"/>
        </w:rPr>
        <w:t xml:space="preserve"> as aulas iniciam no turno matutino às 07h30 horas e encerram às 11h30 horas, no turno vespertino início às 13h15min e término às 17h15min, no turno noturno as aulas iniciarão as 19h00min horas, a empresa vencedora deverá ter concluído o trajeto até no máximo 10 minutos antes do início das aulas e estarem nos locais de embarque 10 minutos antes do término das aulas.</w:t>
      </w:r>
    </w:p>
    <w:p w:rsidR="002A425F" w:rsidRPr="002A3E9B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Pr="002A3E9B" w:rsidRDefault="002A425F" w:rsidP="002A425F">
      <w:pPr>
        <w:pStyle w:val="reservado3"/>
        <w:tabs>
          <w:tab w:val="clear" w:pos="9000"/>
          <w:tab w:val="clear" w:pos="9360"/>
        </w:tabs>
        <w:suppressAutoHyphens w:val="0"/>
        <w:rPr>
          <w:rFonts w:eastAsia="MS Mincho" w:cs="Arial"/>
          <w:b/>
          <w:bCs/>
          <w:sz w:val="22"/>
          <w:szCs w:val="22"/>
          <w:lang w:val="pt-BR"/>
        </w:rPr>
      </w:pPr>
      <w:r w:rsidRPr="002A3E9B">
        <w:rPr>
          <w:rFonts w:eastAsia="MS Mincho" w:cs="Arial"/>
          <w:bCs/>
          <w:sz w:val="22"/>
          <w:szCs w:val="22"/>
          <w:lang w:val="pt-BR"/>
        </w:rPr>
        <w:t>Pa</w:t>
      </w:r>
      <w:r>
        <w:rPr>
          <w:rFonts w:eastAsia="MS Mincho" w:cs="Arial"/>
          <w:bCs/>
          <w:sz w:val="22"/>
          <w:szCs w:val="22"/>
          <w:lang w:val="pt-BR"/>
        </w:rPr>
        <w:t xml:space="preserve">ra realizar o serviço do item 03 </w:t>
      </w:r>
      <w:r w:rsidRPr="002A3E9B">
        <w:rPr>
          <w:rFonts w:eastAsia="MS Mincho" w:cs="Arial"/>
          <w:bCs/>
          <w:sz w:val="22"/>
          <w:szCs w:val="22"/>
          <w:lang w:val="pt-BR"/>
        </w:rPr>
        <w:t>o serviço deverá ser realizado com veículo de capacidade mínima de 15 lugares e no item 0</w:t>
      </w:r>
      <w:r>
        <w:rPr>
          <w:rFonts w:eastAsia="MS Mincho" w:cs="Arial"/>
          <w:bCs/>
          <w:sz w:val="22"/>
          <w:szCs w:val="22"/>
          <w:lang w:val="pt-BR"/>
        </w:rPr>
        <w:t>1</w:t>
      </w:r>
      <w:r w:rsidRPr="002A3E9B">
        <w:rPr>
          <w:rFonts w:eastAsia="MS Mincho" w:cs="Arial"/>
          <w:bCs/>
          <w:sz w:val="22"/>
          <w:szCs w:val="22"/>
          <w:lang w:val="pt-BR"/>
        </w:rPr>
        <w:t xml:space="preserve"> e 0</w:t>
      </w:r>
      <w:r>
        <w:rPr>
          <w:rFonts w:eastAsia="MS Mincho" w:cs="Arial"/>
          <w:bCs/>
          <w:sz w:val="22"/>
          <w:szCs w:val="22"/>
          <w:lang w:val="pt-BR"/>
        </w:rPr>
        <w:t>2</w:t>
      </w:r>
      <w:r w:rsidRPr="002A3E9B">
        <w:rPr>
          <w:rFonts w:eastAsia="MS Mincho" w:cs="Arial"/>
          <w:bCs/>
          <w:sz w:val="22"/>
          <w:szCs w:val="22"/>
          <w:lang w:val="pt-BR"/>
        </w:rPr>
        <w:t xml:space="preserve"> deverá ser realizado com veículo de capacidade mínima de 28 lugares.</w:t>
      </w: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Qualquer Custo adicional para a realização e Regularização dos Serviços Licitados, é de responsabilidade da empresa vencedora.</w:t>
      </w:r>
    </w:p>
    <w:p w:rsidR="002A425F" w:rsidRDefault="002A425F" w:rsidP="002A425F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</w:p>
    <w:p w:rsidR="002A425F" w:rsidRDefault="002A425F" w:rsidP="002A425F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 xml:space="preserve">CLÁUSULA SEGUNDA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DA VIGÊNCIA DO CONTRATO</w:t>
      </w:r>
    </w:p>
    <w:p w:rsidR="002A425F" w:rsidRPr="00ED7D34" w:rsidRDefault="002A425F" w:rsidP="002A425F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</w:p>
    <w:p w:rsidR="002A425F" w:rsidRDefault="002A425F" w:rsidP="002A425F">
      <w:pPr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contrato terá vigência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hAnsi="Arial" w:cs="Arial"/>
          <w:sz w:val="22"/>
          <w:szCs w:val="22"/>
        </w:rPr>
        <w:t xml:space="preserve"> 31 de dezembro de 2022, contados a partir da assinatura do mesmo, </w:t>
      </w:r>
      <w:r w:rsidRPr="00B66BED">
        <w:rPr>
          <w:rFonts w:ascii="Arial" w:eastAsia="Batang" w:hAnsi="Arial" w:cs="Arial"/>
          <w:sz w:val="22"/>
          <w:szCs w:val="22"/>
        </w:rPr>
        <w:t>podendo ser renovado/prorrogado pelo limite máximo de 60 (sessenta) meses, de acordo com o estabelecido em Lei, a critério e conven</w:t>
      </w:r>
      <w:r w:rsidRPr="00B66BED">
        <w:rPr>
          <w:rFonts w:ascii="Arial" w:eastAsia="Batang" w:hAnsi="Arial" w:cs="Arial"/>
          <w:sz w:val="22"/>
          <w:szCs w:val="22"/>
        </w:rPr>
        <w:t>i</w:t>
      </w:r>
      <w:r w:rsidRPr="00B66BED">
        <w:rPr>
          <w:rFonts w:ascii="Arial" w:eastAsia="Batang" w:hAnsi="Arial" w:cs="Arial"/>
          <w:sz w:val="22"/>
          <w:szCs w:val="22"/>
        </w:rPr>
        <w:t>ência administrativa.</w:t>
      </w:r>
    </w:p>
    <w:p w:rsidR="002A425F" w:rsidRPr="00C43889" w:rsidRDefault="002A425F" w:rsidP="002A425F">
      <w:pPr>
        <w:rPr>
          <w:rFonts w:eastAsia="Batang"/>
        </w:rPr>
      </w:pPr>
    </w:p>
    <w:p w:rsidR="002A425F" w:rsidRPr="00C43889" w:rsidRDefault="002A425F" w:rsidP="002A425F">
      <w:pPr>
        <w:pStyle w:val="Ttulo8"/>
        <w:ind w:right="-142"/>
        <w:rPr>
          <w:color w:val="auto"/>
          <w:sz w:val="22"/>
          <w:szCs w:val="22"/>
        </w:rPr>
      </w:pPr>
      <w:r w:rsidRPr="00C43889">
        <w:rPr>
          <w:color w:val="auto"/>
          <w:sz w:val="22"/>
          <w:szCs w:val="22"/>
        </w:rPr>
        <w:t>CLAUSULA TERCEIRA – DA FORMA DE REALIZAÇÃO DOS SERVIÇOS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 serviços deverão ser realizados conforme trajetos descritos no item acima, conforme normas e legislações vigentes, em datas e horários estipulados pela Secretaria de Educação do Município de Flor do Sertão.</w:t>
      </w: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O recebimento definitivo dar-se-á após a conferência e aceitação do setor requisitante.</w:t>
      </w:r>
    </w:p>
    <w:p w:rsidR="002A425F" w:rsidRPr="00F03955" w:rsidRDefault="002A425F" w:rsidP="002A425F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2A425F" w:rsidRDefault="002A425F" w:rsidP="002A425F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A administração rejeitará o fornecimento executado em desacordo com os termos deste edital.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O pagamento será efetuado até o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>º (</w:t>
      </w:r>
      <w:r>
        <w:rPr>
          <w:rFonts w:ascii="Arial" w:hAnsi="Arial" w:cs="Arial"/>
          <w:sz w:val="22"/>
          <w:szCs w:val="22"/>
        </w:rPr>
        <w:t>décimo</w:t>
      </w:r>
      <w:r w:rsidRPr="00ED7D34">
        <w:rPr>
          <w:rFonts w:ascii="Arial" w:hAnsi="Arial" w:cs="Arial"/>
          <w:sz w:val="22"/>
          <w:szCs w:val="22"/>
        </w:rPr>
        <w:t xml:space="preserve">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à prestação dos serviços, mediante emissão da nota fiscal correspondente.</w:t>
      </w: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Se a nota fiscal, for apresentado com erro, será devolvida para retificação e reapresentação, acrescentando-se no prazo fixado no item anterior os dias que se passarem entre a data da devolução e a da reapresentação;</w:t>
      </w: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A critério da contratante, poderão ser utilizados parte dos pagamentos devidos para cobrir possíveis despesas com multas, indenizações a terceiros ou outras, de responsabilidade da contratada.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sariamente no ato da realização dos mesmos.</w:t>
      </w:r>
    </w:p>
    <w:p w:rsidR="002A425F" w:rsidRPr="00ED7D34" w:rsidRDefault="002A425F" w:rsidP="002A425F">
      <w:pPr>
        <w:ind w:right="-142" w:firstLine="709"/>
        <w:jc w:val="both"/>
        <w:rPr>
          <w:rFonts w:ascii="Arial" w:hAnsi="Arial" w:cs="Arial"/>
          <w:sz w:val="22"/>
          <w:szCs w:val="22"/>
        </w:rPr>
      </w:pP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ceiros, por quaisquer irregularidades ou consequências que venham a ocorrer em razão do uso dos produtos e, na sua ocorrência, não implica corresponsab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lidade do Poder Público ou de seus agentes e prepostos.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Fica Com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responsável sobre a fiscalização dos Serviços o </w:t>
      </w:r>
      <w:r>
        <w:rPr>
          <w:rFonts w:ascii="Arial" w:hAnsi="Arial" w:cs="Arial"/>
          <w:spacing w:val="-3"/>
          <w:sz w:val="22"/>
          <w:szCs w:val="22"/>
        </w:rPr>
        <w:t>Secretário</w:t>
      </w:r>
      <w:r>
        <w:rPr>
          <w:rFonts w:ascii="Arial" w:hAnsi="Arial" w:cs="Arial"/>
          <w:spacing w:val="-3"/>
          <w:sz w:val="22"/>
          <w:szCs w:val="22"/>
        </w:rPr>
        <w:t xml:space="preserve"> Municipal de Educação:</w:t>
      </w:r>
    </w:p>
    <w:p w:rsidR="002A425F" w:rsidRDefault="002A425F" w:rsidP="002A425F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2A425F" w:rsidRPr="0051259D" w:rsidRDefault="002A425F" w:rsidP="002A425F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spellStart"/>
      <w:r w:rsidRPr="0051259D">
        <w:rPr>
          <w:rFonts w:ascii="Arial" w:hAnsi="Arial" w:cs="Arial"/>
          <w:b/>
          <w:spacing w:val="-3"/>
          <w:sz w:val="22"/>
          <w:szCs w:val="22"/>
        </w:rPr>
        <w:t>Secretario</w:t>
      </w:r>
      <w:proofErr w:type="spellEnd"/>
      <w:r w:rsidRPr="0051259D">
        <w:rPr>
          <w:rFonts w:ascii="Arial" w:hAnsi="Arial" w:cs="Arial"/>
          <w:b/>
          <w:spacing w:val="-3"/>
          <w:sz w:val="22"/>
          <w:szCs w:val="22"/>
        </w:rPr>
        <w:t xml:space="preserve"> de Educação – </w:t>
      </w:r>
      <w:r>
        <w:rPr>
          <w:rFonts w:ascii="Arial" w:hAnsi="Arial" w:cs="Arial"/>
          <w:b/>
          <w:spacing w:val="-3"/>
          <w:sz w:val="22"/>
          <w:szCs w:val="22"/>
        </w:rPr>
        <w:t xml:space="preserve">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2A425F" w:rsidRPr="00B66BED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Pr="00243493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As despesas decorrentes do cumprimento do presente contrato ocorrerão por conta do projeto atividade: </w:t>
      </w:r>
    </w:p>
    <w:p w:rsidR="002A425F" w:rsidRPr="00951EF8" w:rsidRDefault="002A425F" w:rsidP="002A425F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</w:p>
    <w:p w:rsidR="002A425F" w:rsidRPr="00E3242A" w:rsidRDefault="002A425F" w:rsidP="002A425F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E3242A">
        <w:rPr>
          <w:rFonts w:ascii="Arial" w:hAnsi="Arial" w:cs="Arial"/>
          <w:sz w:val="22"/>
          <w:szCs w:val="22"/>
        </w:rPr>
        <w:t>Nome do Projeto Atividade</w:t>
      </w:r>
    </w:p>
    <w:p w:rsidR="002A425F" w:rsidRPr="00E3242A" w:rsidRDefault="002A425F" w:rsidP="002A425F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APOIO AO ENSINO SUPERIOR;</w:t>
      </w:r>
    </w:p>
    <w:p w:rsidR="002A425F" w:rsidRPr="004869F5" w:rsidRDefault="002A425F" w:rsidP="002A425F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33733B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4869F5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2A425F" w:rsidRPr="004869F5" w:rsidRDefault="002A425F" w:rsidP="002A425F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Descrição do Elemento Orçamentário</w:t>
      </w:r>
    </w:p>
    <w:p w:rsidR="002A425F" w:rsidRDefault="002A425F" w:rsidP="002A42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3242A">
        <w:rPr>
          <w:rFonts w:ascii="Arial" w:hAnsi="Arial" w:cs="Arial"/>
          <w:sz w:val="22"/>
          <w:szCs w:val="22"/>
        </w:rPr>
        <w:t>SERVIÇOS DE TRANSPORTE</w:t>
      </w:r>
      <w:r>
        <w:rPr>
          <w:rFonts w:ascii="Arial" w:hAnsi="Arial" w:cs="Arial"/>
          <w:sz w:val="22"/>
          <w:szCs w:val="22"/>
        </w:rPr>
        <w:t xml:space="preserve"> ESCOLAR;</w:t>
      </w:r>
    </w:p>
    <w:p w:rsidR="002A425F" w:rsidRPr="00E3242A" w:rsidRDefault="002A425F" w:rsidP="002A425F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2A425F" w:rsidRPr="00ED7D34" w:rsidRDefault="002A425F" w:rsidP="002A425F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CLÁUSULA SÉTIMA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DO REAJUSTAMENTO DE PREÇOS</w:t>
      </w:r>
    </w:p>
    <w:p w:rsidR="002A425F" w:rsidRPr="00ED7D34" w:rsidRDefault="002A425F" w:rsidP="002A425F">
      <w:pPr>
        <w:pStyle w:val="Corpodetexto"/>
        <w:ind w:right="-142"/>
        <w:rPr>
          <w:rFonts w:ascii="Arial" w:eastAsia="Batang" w:hAnsi="Arial" w:cs="Arial"/>
          <w:iCs/>
          <w:sz w:val="22"/>
          <w:szCs w:val="22"/>
        </w:rPr>
      </w:pPr>
    </w:p>
    <w:p w:rsidR="002A425F" w:rsidRPr="001F66EF" w:rsidRDefault="002A425F" w:rsidP="002A425F">
      <w:pPr>
        <w:pStyle w:val="Corpodetexto"/>
        <w:rPr>
          <w:rFonts w:ascii="Arial" w:eastAsia="Batang" w:hAnsi="Arial" w:cs="Arial"/>
          <w:sz w:val="22"/>
          <w:szCs w:val="22"/>
        </w:rPr>
      </w:pPr>
      <w:r w:rsidRPr="001F66EF">
        <w:rPr>
          <w:rFonts w:ascii="Arial" w:eastAsia="Batang" w:hAnsi="Arial" w:cs="Arial"/>
          <w:sz w:val="22"/>
          <w:szCs w:val="22"/>
        </w:rPr>
        <w:lastRenderedPageBreak/>
        <w:t xml:space="preserve">O valor mensal dos serviços, após o interstício de 12 meses de sua execução, poderá sofrer reajuste de acordo com a variação acumulada do </w:t>
      </w:r>
      <w:r>
        <w:rPr>
          <w:rFonts w:ascii="Arial" w:eastAsia="Batang" w:hAnsi="Arial" w:cs="Arial"/>
          <w:sz w:val="22"/>
          <w:szCs w:val="22"/>
        </w:rPr>
        <w:t>INPC</w:t>
      </w:r>
      <w:r w:rsidRPr="001F66EF">
        <w:rPr>
          <w:rFonts w:ascii="Arial" w:eastAsia="Batang" w:hAnsi="Arial" w:cs="Arial"/>
          <w:sz w:val="22"/>
          <w:szCs w:val="22"/>
        </w:rPr>
        <w:t>, ou outro índice oficial que venha a substituí-lo, nos termos da legislação vigente.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2A425F" w:rsidRPr="001F66EF" w:rsidRDefault="002A425F" w:rsidP="002A425F">
      <w:pPr>
        <w:jc w:val="both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sz w:val="22"/>
          <w:szCs w:val="22"/>
        </w:rPr>
        <w:t>A empresa vencedora obriga-se a:</w:t>
      </w:r>
    </w:p>
    <w:p w:rsidR="002A425F" w:rsidRPr="001F66E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A –</w:t>
      </w:r>
      <w:r w:rsidRPr="001F66EF">
        <w:rPr>
          <w:rFonts w:ascii="Arial" w:hAnsi="Arial" w:cs="Arial"/>
          <w:sz w:val="22"/>
          <w:szCs w:val="22"/>
        </w:rPr>
        <w:t xml:space="preserve"> O serviço ora contrato destina-se exclusivamente a alunos e professores, ficando vedado o transporte de outros passageiros.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B –</w:t>
      </w:r>
      <w:r w:rsidRPr="001F66EF">
        <w:rPr>
          <w:rFonts w:ascii="Arial" w:hAnsi="Arial" w:cs="Arial"/>
          <w:sz w:val="22"/>
          <w:szCs w:val="22"/>
        </w:rPr>
        <w:t xml:space="preserve"> O contratado responsabiliza-se por qualquer incidente que possa ocorrer com os alunos durante o trajeto.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C –</w:t>
      </w:r>
      <w:r w:rsidRPr="001F66EF">
        <w:rPr>
          <w:rFonts w:ascii="Arial" w:hAnsi="Arial" w:cs="Arial"/>
          <w:sz w:val="22"/>
          <w:szCs w:val="22"/>
        </w:rPr>
        <w:t xml:space="preserve"> São de inteira responsabilidade da contratada, despesas com salários, encargos sociais, trabalhistas e fiscais de seus empregados, quando da prestação dos serviços, não cabendo a Contratante, qualquer espécie de responsabilidade presente e futura.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D –</w:t>
      </w:r>
      <w:r w:rsidRPr="001F66EF">
        <w:rPr>
          <w:rFonts w:ascii="Arial" w:hAnsi="Arial" w:cs="Arial"/>
          <w:sz w:val="22"/>
          <w:szCs w:val="22"/>
        </w:rPr>
        <w:t xml:space="preserve"> Responderá a Contratada em relação a terceiros pelos danos que seus empregados possam vir causar em decorrência de negligencia, imprudência e imperícia, na forma da Lei.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E –</w:t>
      </w:r>
      <w:r w:rsidRPr="001F66EF">
        <w:rPr>
          <w:rFonts w:ascii="Arial" w:hAnsi="Arial" w:cs="Arial"/>
          <w:sz w:val="22"/>
          <w:szCs w:val="22"/>
        </w:rPr>
        <w:t xml:space="preserve"> Fornecer ao Município sempre que solicitadas informações e/ou esclarecimentos sobre o andamento dos serviços.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F –</w:t>
      </w:r>
      <w:r w:rsidRPr="001F66EF">
        <w:rPr>
          <w:rFonts w:ascii="Arial" w:hAnsi="Arial" w:cs="Arial"/>
          <w:sz w:val="22"/>
          <w:szCs w:val="22"/>
        </w:rPr>
        <w:t xml:space="preserve"> É da contratada a responsabilidade pelos danos que possam afetar o Município ou terceiros em qualquer caso, durante a execução do objeto contratado bem como o custo para a reparação dos mesmos.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G –</w:t>
      </w:r>
      <w:r w:rsidRPr="001F66EF">
        <w:rPr>
          <w:rFonts w:ascii="Arial" w:hAnsi="Arial" w:cs="Arial"/>
          <w:sz w:val="22"/>
          <w:szCs w:val="22"/>
        </w:rPr>
        <w:t xml:space="preserve"> Manter o Município permanentemente informado sobre o andamento dos serviços;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H –</w:t>
      </w:r>
      <w:r w:rsidRPr="001F66EF">
        <w:rPr>
          <w:rFonts w:ascii="Arial" w:hAnsi="Arial" w:cs="Arial"/>
          <w:sz w:val="22"/>
          <w:szCs w:val="22"/>
        </w:rPr>
        <w:t xml:space="preserve"> É da contratada a obrigação do pagamento de tributos que incidiram sobre os serviços prestados, em qualquer esfera, especialmente ISS (5%) e INSS (11%).</w:t>
      </w:r>
    </w:p>
    <w:p w:rsidR="002A425F" w:rsidRPr="001F66EF" w:rsidRDefault="002A425F" w:rsidP="002A425F">
      <w:pPr>
        <w:pStyle w:val="TextosemFormata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I –</w:t>
      </w:r>
      <w:r w:rsidRPr="001F66EF">
        <w:rPr>
          <w:rFonts w:ascii="Arial" w:hAnsi="Arial" w:cs="Arial"/>
          <w:sz w:val="22"/>
          <w:szCs w:val="22"/>
        </w:rPr>
        <w:t xml:space="preserve"> A contratada deverá cumprir rigorosamente o itinerário estabelecido na cláusula primeira e adendos, levando em consideração a necessidade de alteração do trajeto e horário quando conveniente aos alunos e determinado pelo Município;</w:t>
      </w: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J –</w:t>
      </w:r>
      <w:r w:rsidRPr="001F66EF">
        <w:rPr>
          <w:rFonts w:ascii="Arial" w:hAnsi="Arial" w:cs="Arial"/>
          <w:sz w:val="22"/>
          <w:szCs w:val="22"/>
        </w:rPr>
        <w:t xml:space="preserve"> Manter a ordem interna do ônibus, durante as viagens, principalmente não deixando as crianças colocar a cabeça e braços para fora do ônibus;</w:t>
      </w: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L –</w:t>
      </w:r>
      <w:r w:rsidRPr="001F66EF">
        <w:rPr>
          <w:rFonts w:ascii="Arial" w:hAnsi="Arial" w:cs="Arial"/>
          <w:sz w:val="22"/>
          <w:szCs w:val="22"/>
        </w:rPr>
        <w:t xml:space="preserve"> Permitir que os pressupostos do contratante inspecionem a qualquer tempo e hora o andamento dos serviços e estado dos veículos colocados </w:t>
      </w:r>
      <w:proofErr w:type="spellStart"/>
      <w:r w:rsidRPr="001F66EF">
        <w:rPr>
          <w:rFonts w:ascii="Arial" w:hAnsi="Arial" w:cs="Arial"/>
          <w:sz w:val="22"/>
          <w:szCs w:val="22"/>
        </w:rPr>
        <w:t>a</w:t>
      </w:r>
      <w:proofErr w:type="spellEnd"/>
      <w:r w:rsidRPr="001F66EF">
        <w:rPr>
          <w:rFonts w:ascii="Arial" w:hAnsi="Arial" w:cs="Arial"/>
          <w:sz w:val="22"/>
          <w:szCs w:val="22"/>
        </w:rPr>
        <w:t xml:space="preserve"> disposição do </w:t>
      </w:r>
      <w:proofErr w:type="gramStart"/>
      <w:r w:rsidRPr="001F66EF">
        <w:rPr>
          <w:rFonts w:ascii="Arial" w:hAnsi="Arial" w:cs="Arial"/>
          <w:sz w:val="22"/>
          <w:szCs w:val="22"/>
        </w:rPr>
        <w:t>transportes escolar</w:t>
      </w:r>
      <w:proofErr w:type="gramEnd"/>
      <w:r w:rsidRPr="001F66EF">
        <w:rPr>
          <w:rFonts w:ascii="Arial" w:hAnsi="Arial" w:cs="Arial"/>
          <w:sz w:val="22"/>
          <w:szCs w:val="22"/>
        </w:rPr>
        <w:t>.</w:t>
      </w: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</w:p>
    <w:p w:rsidR="002A425F" w:rsidRPr="001F66EF" w:rsidRDefault="002A425F" w:rsidP="002A425F">
      <w:pPr>
        <w:pStyle w:val="Corpodetexto"/>
        <w:rPr>
          <w:rFonts w:ascii="Arial" w:hAnsi="Arial" w:cs="Arial"/>
          <w:sz w:val="22"/>
          <w:szCs w:val="22"/>
        </w:rPr>
      </w:pPr>
      <w:r w:rsidRPr="001F66EF">
        <w:rPr>
          <w:rFonts w:ascii="Arial" w:hAnsi="Arial" w:cs="Arial"/>
          <w:bCs/>
          <w:sz w:val="22"/>
          <w:szCs w:val="22"/>
        </w:rPr>
        <w:t>M –</w:t>
      </w:r>
      <w:r w:rsidRPr="001F66EF">
        <w:rPr>
          <w:rFonts w:ascii="Arial" w:hAnsi="Arial" w:cs="Arial"/>
          <w:sz w:val="22"/>
          <w:szCs w:val="22"/>
        </w:rPr>
        <w:t xml:space="preserve"> Cumprir todas as demais obrigações constantes no Edital.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pStyle w:val="Corpodetexto2"/>
        <w:ind w:right="-142"/>
        <w:rPr>
          <w:sz w:val="22"/>
        </w:rPr>
      </w:pPr>
      <w:r w:rsidRPr="00ED7D34">
        <w:rPr>
          <w:sz w:val="22"/>
        </w:rPr>
        <w:t>Uma vez firmada a contratação, o Poder Público, este se obriga a:</w:t>
      </w:r>
    </w:p>
    <w:p w:rsidR="002A425F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todas as informações relacionadas aos serviços do presente Edital.</w:t>
      </w:r>
    </w:p>
    <w:p w:rsidR="002A425F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2A425F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2A425F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2A425F" w:rsidRPr="00ED7D34" w:rsidRDefault="002A425F" w:rsidP="002A425F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2A425F" w:rsidRPr="00ED7D34" w:rsidRDefault="002A425F" w:rsidP="002A425F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</w:p>
    <w:p w:rsidR="002A425F" w:rsidRDefault="002A425F" w:rsidP="002A425F">
      <w:pPr>
        <w:pStyle w:val="Corpodetexto"/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tratar com a Administração Pública, pelo prazo de até 05 anos, enquanto pe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durarem os motivos determinantes da punição ou até que seja promovida a reabilitação perante a própria autoridade que aplicou a penalidade, sem preju</w:t>
      </w:r>
      <w:r w:rsidRPr="00ED7D34">
        <w:rPr>
          <w:rFonts w:ascii="Arial" w:hAnsi="Arial" w:cs="Arial"/>
          <w:sz w:val="22"/>
          <w:szCs w:val="22"/>
        </w:rPr>
        <w:t>í</w:t>
      </w:r>
      <w:r w:rsidRPr="00ED7D34">
        <w:rPr>
          <w:rFonts w:ascii="Arial" w:hAnsi="Arial" w:cs="Arial"/>
          <w:sz w:val="22"/>
          <w:szCs w:val="22"/>
        </w:rPr>
        <w:t>zo das multas previstas neste e das demais cominações legais.</w:t>
      </w:r>
    </w:p>
    <w:p w:rsidR="002A425F" w:rsidRPr="00ED7D34" w:rsidRDefault="002A425F" w:rsidP="002A425F">
      <w:pPr>
        <w:pStyle w:val="Corpodetexto"/>
        <w:ind w:right="-142"/>
        <w:rPr>
          <w:rFonts w:ascii="Arial" w:hAnsi="Arial" w:cs="Arial"/>
          <w:bCs/>
          <w:sz w:val="22"/>
          <w:szCs w:val="22"/>
        </w:rPr>
      </w:pP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tadas, a Contratada estará sujeita às seguintes penalidades: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la ou condição do contrato.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tação de defesa prévia será de 5 dias úteis contados da respectiva intimação.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2A425F" w:rsidRPr="00ED7D34" w:rsidRDefault="002A425F" w:rsidP="002A425F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PRIMEIRA – DA RESCISÃO</w:t>
      </w:r>
    </w:p>
    <w:p w:rsidR="002A425F" w:rsidRPr="00ED7D34" w:rsidRDefault="002A425F" w:rsidP="002A425F">
      <w:pPr>
        <w:pStyle w:val="Corpodetexto"/>
        <w:ind w:right="-142" w:firstLine="851"/>
        <w:rPr>
          <w:rFonts w:ascii="Arial" w:hAnsi="Arial" w:cs="Arial"/>
          <w:sz w:val="22"/>
          <w:szCs w:val="22"/>
        </w:rPr>
      </w:pP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</w:t>
      </w:r>
      <w:r w:rsidRPr="00ED7D34">
        <w:rPr>
          <w:rFonts w:ascii="Arial" w:hAnsi="Arial" w:cs="Arial"/>
          <w:sz w:val="22"/>
          <w:szCs w:val="22"/>
        </w:rPr>
        <w:t>o</w:t>
      </w:r>
      <w:r w:rsidRPr="00ED7D34">
        <w:rPr>
          <w:rFonts w:ascii="Arial" w:hAnsi="Arial" w:cs="Arial"/>
          <w:sz w:val="22"/>
          <w:szCs w:val="22"/>
        </w:rPr>
        <w:t>brigações.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bordinado o contrato e exaradas no processo Administrativo a que se refere o Contrato.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sões que totalizem o mesmo prazo, independentemente do pagamento obrig</w:t>
      </w:r>
      <w:r w:rsidRPr="00ED7D34">
        <w:rPr>
          <w:rFonts w:ascii="Arial" w:hAnsi="Arial" w:cs="Arial"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>tório e outras previstas, assegurado ao contratado, nesses casos, o direito de optar pela suspensão do cumprimento das obrigações assumidas até que seja normalizada a situação.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 xml:space="preserve">nistração decorrentes dos serviços ou parcelas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terna ou guerra assegurado ao contratado o direito de optar pela suspensão do cumprimento de suas obrigações até que seja normalizada a situação.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2A425F" w:rsidRDefault="002A425F" w:rsidP="002A425F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2A425F" w:rsidRPr="00ED7D34" w:rsidRDefault="002A425F" w:rsidP="002A425F">
      <w:pPr>
        <w:widowControl w:val="0"/>
        <w:ind w:right="-142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 w:firstLine="708"/>
        <w:rPr>
          <w:rFonts w:ascii="Arial" w:eastAsia="MS Mincho" w:hAnsi="Arial" w:cs="Arial"/>
          <w:b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 xml:space="preserve">O presente instrumento rege-se pelas disposições expressas na Lei Federal nº. 8.666/93, consolidada, pelo Edital do Processo Licitatório n° </w:t>
      </w:r>
      <w:r>
        <w:rPr>
          <w:rFonts w:ascii="Arial" w:eastAsia="MS Mincho" w:hAnsi="Arial" w:cs="Arial"/>
          <w:bCs/>
          <w:sz w:val="22"/>
          <w:szCs w:val="22"/>
        </w:rPr>
        <w:t>01/2022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na modal</w:t>
      </w:r>
      <w:r w:rsidRPr="00ED7D34">
        <w:rPr>
          <w:rFonts w:ascii="Arial" w:eastAsia="MS Mincho" w:hAnsi="Arial" w:cs="Arial"/>
          <w:bCs/>
          <w:sz w:val="22"/>
          <w:szCs w:val="22"/>
        </w:rPr>
        <w:t>i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dade </w:t>
      </w:r>
      <w:r>
        <w:rPr>
          <w:rFonts w:ascii="Arial" w:eastAsia="MS Mincho" w:hAnsi="Arial" w:cs="Arial"/>
          <w:bCs/>
          <w:sz w:val="22"/>
          <w:szCs w:val="22"/>
        </w:rPr>
        <w:t>Pregão Presencial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nº. </w:t>
      </w:r>
      <w:r>
        <w:rPr>
          <w:rFonts w:ascii="Arial" w:eastAsia="MS Mincho" w:hAnsi="Arial" w:cs="Arial"/>
          <w:bCs/>
          <w:sz w:val="22"/>
          <w:szCs w:val="22"/>
        </w:rPr>
        <w:t>01/2022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</w:t>
      </w:r>
      <w:r w:rsidRPr="00ED7D34">
        <w:rPr>
          <w:rFonts w:ascii="Arial" w:eastAsia="MS Mincho" w:hAnsi="Arial" w:cs="Arial"/>
          <w:bCs/>
          <w:sz w:val="22"/>
          <w:szCs w:val="22"/>
        </w:rPr>
        <w:t>r</w:t>
      </w:r>
      <w:r w:rsidRPr="00ED7D34">
        <w:rPr>
          <w:rFonts w:ascii="Arial" w:eastAsia="MS Mincho" w:hAnsi="Arial" w:cs="Arial"/>
          <w:bCs/>
          <w:sz w:val="22"/>
          <w:szCs w:val="22"/>
        </w:rPr>
        <w:t>ceiros.</w:t>
      </w: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EMPRESA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</w:t>
      </w:r>
      <w:r w:rsidRPr="00ED7D34">
        <w:rPr>
          <w:rFonts w:ascii="Arial" w:eastAsia="MS Mincho" w:hAnsi="Arial" w:cs="Arial"/>
          <w:sz w:val="22"/>
          <w:szCs w:val="22"/>
        </w:rPr>
        <w:t>u</w:t>
      </w:r>
      <w:r w:rsidRPr="00ED7D34">
        <w:rPr>
          <w:rFonts w:ascii="Arial" w:eastAsia="MS Mincho" w:hAnsi="Arial" w:cs="Arial"/>
          <w:sz w:val="22"/>
          <w:szCs w:val="22"/>
        </w:rPr>
        <w:t>ras, para que produza seus jurídicos e legais efeitos.</w:t>
      </w:r>
    </w:p>
    <w:p w:rsidR="002A425F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Pr="00ED7D34" w:rsidRDefault="002A425F" w:rsidP="002A425F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2A425F" w:rsidRDefault="002A425F" w:rsidP="002A425F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>
        <w:rPr>
          <w:rFonts w:ascii="Arial" w:eastAsia="MS Mincho" w:hAnsi="Arial" w:cs="Arial"/>
          <w:spacing w:val="-2"/>
          <w:sz w:val="22"/>
          <w:szCs w:val="22"/>
        </w:rPr>
        <w:t>25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dias do mês de </w:t>
      </w:r>
      <w:r>
        <w:rPr>
          <w:rFonts w:ascii="Arial" w:eastAsia="MS Mincho" w:hAnsi="Arial" w:cs="Arial"/>
          <w:spacing w:val="-2"/>
          <w:sz w:val="22"/>
          <w:szCs w:val="22"/>
        </w:rPr>
        <w:t>janeiro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2A425F" w:rsidRDefault="002A425F" w:rsidP="002A425F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2A425F" w:rsidRDefault="002A425F" w:rsidP="002A425F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2A425F" w:rsidRDefault="002A425F" w:rsidP="002A425F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2A425F" w:rsidRPr="00092C75" w:rsidTr="00D636DA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A425F" w:rsidRPr="00092C75" w:rsidRDefault="002A559A" w:rsidP="00D636DA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2A425F">
              <w:rPr>
                <w:rFonts w:ascii="Arial" w:hAnsi="Arial" w:cs="Arial"/>
                <w:b/>
                <w:sz w:val="22"/>
                <w:szCs w:val="22"/>
              </w:rPr>
              <w:t>LEOCLIDES PEDRO PELISON</w:t>
            </w:r>
          </w:p>
        </w:tc>
      </w:tr>
      <w:tr w:rsidR="002A425F" w:rsidRPr="00092C75" w:rsidTr="00D636DA">
        <w:trPr>
          <w:trHeight w:val="210"/>
          <w:jc w:val="center"/>
        </w:trPr>
        <w:tc>
          <w:tcPr>
            <w:tcW w:w="4820" w:type="dxa"/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59A">
              <w:rPr>
                <w:rFonts w:ascii="Arial" w:hAnsi="Arial" w:cs="Arial"/>
                <w:sz w:val="22"/>
                <w:szCs w:val="22"/>
              </w:rPr>
              <w:t>842.514.259-87</w:t>
            </w:r>
            <w:bookmarkStart w:id="0" w:name="_GoBack"/>
            <w:bookmarkEnd w:id="0"/>
          </w:p>
        </w:tc>
      </w:tr>
      <w:tr w:rsidR="002A425F" w:rsidRPr="00092C75" w:rsidTr="00D636DA">
        <w:trPr>
          <w:trHeight w:val="210"/>
          <w:jc w:val="center"/>
        </w:trPr>
        <w:tc>
          <w:tcPr>
            <w:tcW w:w="4820" w:type="dxa"/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p w:rsidR="002A425F" w:rsidRDefault="002A425F" w:rsidP="002A42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2A425F" w:rsidRPr="00092C75" w:rsidTr="00D636DA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2A425F" w:rsidRPr="00092C75" w:rsidTr="00D636DA">
        <w:trPr>
          <w:jc w:val="center"/>
        </w:trPr>
        <w:tc>
          <w:tcPr>
            <w:tcW w:w="4756" w:type="dxa"/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2A425F" w:rsidRPr="00092C75" w:rsidRDefault="002A425F" w:rsidP="00D636D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2A425F" w:rsidRPr="00092C75" w:rsidRDefault="002A425F" w:rsidP="00D63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2A425F" w:rsidRDefault="002A425F" w:rsidP="002A425F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EC27BD" w:rsidRDefault="00EC27BD"/>
    <w:sectPr w:rsidR="00EC27BD" w:rsidSect="002A42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1134" w:bottom="993" w:left="1134" w:header="720" w:footer="29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559A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2A559A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425F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8356600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425F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8366125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55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2A55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425F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59690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2A425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59690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F"/>
    <w:rsid w:val="002A425F"/>
    <w:rsid w:val="002A559A"/>
    <w:rsid w:val="00E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AF4FC4"/>
  <w15:chartTrackingRefBased/>
  <w15:docId w15:val="{48BB365C-6F93-4B63-BCD1-761038C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A425F"/>
    <w:pPr>
      <w:keepNext/>
      <w:jc w:val="both"/>
      <w:outlineLvl w:val="7"/>
    </w:pPr>
    <w:rPr>
      <w:rFonts w:ascii="Arial" w:hAnsi="Arial" w:cs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A425F"/>
    <w:rPr>
      <w:rFonts w:ascii="Arial" w:eastAsia="Times New Roman" w:hAnsi="Arial" w:cs="Arial"/>
      <w:b/>
      <w:color w:val="FF0000"/>
      <w:sz w:val="20"/>
      <w:szCs w:val="20"/>
      <w:lang w:eastAsia="pt-BR"/>
    </w:rPr>
  </w:style>
  <w:style w:type="character" w:styleId="Nmerodepgina">
    <w:name w:val="page number"/>
    <w:rsid w:val="002A425F"/>
    <w:rPr>
      <w:rFonts w:cs="Times New Roman"/>
    </w:rPr>
  </w:style>
  <w:style w:type="paragraph" w:styleId="Rodap">
    <w:name w:val="footer"/>
    <w:basedOn w:val="Normal"/>
    <w:link w:val="RodapChar"/>
    <w:rsid w:val="002A425F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2A425F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42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42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A425F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2A425F"/>
    <w:rPr>
      <w:rFonts w:ascii="Garamond" w:eastAsia="Times New Roman" w:hAnsi="Garamond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A425F"/>
    <w:pPr>
      <w:jc w:val="both"/>
    </w:pPr>
    <w:rPr>
      <w:rFonts w:ascii="Arial" w:hAnsi="Arial" w:cs="Arial"/>
      <w:bCs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A425F"/>
    <w:rPr>
      <w:rFonts w:ascii="Arial" w:eastAsia="Times New Roman" w:hAnsi="Arial" w:cs="Arial"/>
      <w:bCs/>
      <w:sz w:val="20"/>
      <w:lang w:eastAsia="pt-BR"/>
    </w:rPr>
  </w:style>
  <w:style w:type="paragraph" w:styleId="TextosemFormatao">
    <w:name w:val="Plain Text"/>
    <w:basedOn w:val="Normal"/>
    <w:link w:val="TextosemFormataoChar"/>
    <w:rsid w:val="002A425F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2A425F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customStyle="1" w:styleId="reservado3">
    <w:name w:val="reservado3"/>
    <w:basedOn w:val="Normal"/>
    <w:uiPriority w:val="99"/>
    <w:rsid w:val="002A425F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2396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2022-01-25T13:44:00Z</dcterms:created>
  <dcterms:modified xsi:type="dcterms:W3CDTF">2022-01-25T13:57:00Z</dcterms:modified>
</cp:coreProperties>
</file>