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16" w:rsidRDefault="00F44516" w:rsidP="00F44516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color w:val="000000"/>
          <w:sz w:val="24"/>
          <w:szCs w:val="24"/>
          <w:lang w:eastAsia="pt-BR"/>
        </w:rPr>
      </w:pPr>
    </w:p>
    <w:p w:rsidR="00F44516" w:rsidRDefault="00F44516" w:rsidP="00F445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color w:val="000000"/>
          <w:sz w:val="24"/>
          <w:szCs w:val="24"/>
          <w:lang w:eastAsia="pt-BR"/>
        </w:rPr>
      </w:pPr>
    </w:p>
    <w:p w:rsidR="00F44516" w:rsidRDefault="00F44516" w:rsidP="00F4451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Calibri"/>
          <w:b/>
          <w:color w:val="000000"/>
          <w:sz w:val="24"/>
          <w:szCs w:val="24"/>
          <w:lang w:eastAsia="pt-BR"/>
        </w:rPr>
      </w:pPr>
    </w:p>
    <w:p w:rsidR="00D8016D" w:rsidRDefault="00D8016D" w:rsidP="00A80827">
      <w:pPr>
        <w:pStyle w:val="Ttulo2Arial"/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ILUSTRÍSSIMO SENHOR PREGOEIR</w:t>
      </w:r>
      <w:r w:rsidRPr="00D8016D">
        <w:rPr>
          <w:rFonts w:asciiTheme="minorHAnsi" w:hAnsiTheme="minorHAnsi" w:cstheme="minorHAnsi"/>
        </w:rPr>
        <w:t>O DO MUNICÍPIO DE FLOR DO SERTÃO</w:t>
      </w:r>
    </w:p>
    <w:p w:rsidR="00D8016D" w:rsidRDefault="00D8016D" w:rsidP="00D8016D">
      <w:pPr>
        <w:pStyle w:val="Ttulo2Arial"/>
        <w:rPr>
          <w:rFonts w:asciiTheme="minorHAnsi" w:hAnsiTheme="minorHAnsi" w:cstheme="minorHAnsi"/>
        </w:rPr>
      </w:pPr>
    </w:p>
    <w:p w:rsidR="00D8016D" w:rsidRDefault="00D8016D" w:rsidP="00D8016D">
      <w:pPr>
        <w:pStyle w:val="Ttulo2Arial"/>
        <w:rPr>
          <w:rFonts w:asciiTheme="minorHAnsi" w:hAnsiTheme="minorHAnsi" w:cstheme="minorHAnsi"/>
        </w:rPr>
      </w:pPr>
    </w:p>
    <w:p w:rsidR="00D8016D" w:rsidRPr="00A80827" w:rsidRDefault="00D8016D" w:rsidP="00A80827">
      <w:pPr>
        <w:pStyle w:val="Ttulo2Arial"/>
        <w:ind w:left="340" w:right="340"/>
        <w:jc w:val="both"/>
        <w:rPr>
          <w:rFonts w:asciiTheme="minorHAnsi" w:hAnsiTheme="minorHAnsi" w:cstheme="minorHAnsi"/>
          <w:sz w:val="24"/>
          <w:szCs w:val="24"/>
        </w:rPr>
      </w:pPr>
      <w:r w:rsidRPr="00A80827">
        <w:rPr>
          <w:rFonts w:asciiTheme="minorHAnsi" w:hAnsiTheme="minorHAnsi" w:cstheme="minorHAnsi"/>
          <w:b/>
          <w:sz w:val="24"/>
          <w:szCs w:val="24"/>
        </w:rPr>
        <w:t xml:space="preserve">A ÍTACA EIRELI </w:t>
      </w:r>
      <w:r w:rsidRPr="00A80827">
        <w:rPr>
          <w:rFonts w:asciiTheme="minorHAnsi" w:hAnsiTheme="minorHAnsi" w:cstheme="minorHAnsi"/>
          <w:sz w:val="24"/>
          <w:szCs w:val="24"/>
        </w:rPr>
        <w:t xml:space="preserve">pessoa jurídica de direito privado, inscrita no CNPJ sob o n° 24.845.457/0001-65, estabelecida em Blumenau-SC, situada na Rua Luiz </w:t>
      </w:r>
      <w:proofErr w:type="spellStart"/>
      <w:r w:rsidRPr="00A80827">
        <w:rPr>
          <w:rFonts w:asciiTheme="minorHAnsi" w:hAnsiTheme="minorHAnsi" w:cstheme="minorHAnsi"/>
          <w:sz w:val="24"/>
          <w:szCs w:val="24"/>
        </w:rPr>
        <w:t>Altemburg</w:t>
      </w:r>
      <w:proofErr w:type="spellEnd"/>
      <w:r w:rsidRPr="00A80827">
        <w:rPr>
          <w:rFonts w:asciiTheme="minorHAnsi" w:hAnsiTheme="minorHAnsi" w:cstheme="minorHAnsi"/>
          <w:sz w:val="24"/>
          <w:szCs w:val="24"/>
        </w:rPr>
        <w:t xml:space="preserve"> Sênior, 635- Bairro: Escola Agrícola, CEP.: 88031-300, por seu representante legal Sr. MAURICIO LISBOA KOCH, portador da carteira de identidade RG nº 4631;143 - SSP/SC, e inscrito sob o CPF n° 087.571.189-81, vem, tempestivamente à presença de V. Sas., com fundamento no artigo 41 e seus parágrafos da Lei Federal nº 8.666/93 , interpor a presente IMPUGNAÇÃO AO EDITAL DE PREGÃO Nº 19/2020, pelos seguintes fundamentos de fato e de direito:</w:t>
      </w:r>
    </w:p>
    <w:p w:rsidR="00D8016D" w:rsidRPr="00A80827" w:rsidRDefault="00D8016D" w:rsidP="00954152">
      <w:pPr>
        <w:pStyle w:val="Ttulo2Arial"/>
        <w:jc w:val="both"/>
        <w:rPr>
          <w:rFonts w:asciiTheme="minorHAnsi" w:hAnsiTheme="minorHAnsi" w:cstheme="minorHAnsi"/>
          <w:sz w:val="24"/>
          <w:szCs w:val="24"/>
        </w:rPr>
      </w:pPr>
    </w:p>
    <w:p w:rsidR="00D8016D" w:rsidRPr="00A80827" w:rsidRDefault="00D8016D" w:rsidP="00954152">
      <w:pPr>
        <w:pStyle w:val="Ttulo2Arial"/>
        <w:jc w:val="both"/>
        <w:rPr>
          <w:rFonts w:asciiTheme="minorHAnsi" w:hAnsiTheme="minorHAnsi" w:cstheme="minorHAnsi"/>
          <w:sz w:val="24"/>
          <w:szCs w:val="24"/>
        </w:rPr>
      </w:pPr>
    </w:p>
    <w:p w:rsidR="00D8016D" w:rsidRPr="00A80827" w:rsidRDefault="00D8016D" w:rsidP="00954152">
      <w:pPr>
        <w:pStyle w:val="Ttulo2Arial"/>
        <w:jc w:val="both"/>
        <w:rPr>
          <w:rFonts w:asciiTheme="minorHAnsi" w:hAnsiTheme="minorHAnsi" w:cstheme="minorHAnsi"/>
          <w:sz w:val="24"/>
          <w:szCs w:val="24"/>
        </w:rPr>
      </w:pPr>
    </w:p>
    <w:p w:rsidR="00D8016D" w:rsidRPr="00A80827" w:rsidRDefault="00D8016D" w:rsidP="00A80827">
      <w:pPr>
        <w:pStyle w:val="Ttulo2Arial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A80827">
        <w:rPr>
          <w:rFonts w:asciiTheme="minorHAnsi" w:hAnsiTheme="minorHAnsi" w:cstheme="minorHAnsi"/>
          <w:b/>
          <w:sz w:val="24"/>
          <w:szCs w:val="24"/>
        </w:rPr>
        <w:t>DO MÉRITO DA IMPUGNAÇÃO</w:t>
      </w:r>
      <w:r w:rsidRPr="00A80827">
        <w:rPr>
          <w:rFonts w:asciiTheme="minorHAnsi" w:hAnsiTheme="minorHAnsi" w:cstheme="minorHAnsi"/>
        </w:rPr>
        <w:t xml:space="preserve"> </w:t>
      </w:r>
      <w:r w:rsidRPr="00A80827">
        <w:rPr>
          <w:rFonts w:asciiTheme="minorHAnsi" w:hAnsiTheme="minorHAnsi" w:cstheme="minorHAnsi"/>
        </w:rPr>
        <w:br/>
      </w:r>
      <w:r w:rsidRPr="00A80827">
        <w:rPr>
          <w:rFonts w:asciiTheme="minorHAnsi" w:hAnsiTheme="minorHAnsi" w:cstheme="minorHAnsi"/>
        </w:rPr>
        <w:br/>
        <w:t>O edital informa que o julgamento será do tipo “MENOR PREÇO GLOBAL POR LOTE”:</w:t>
      </w:r>
    </w:p>
    <w:p w:rsidR="00D8016D" w:rsidRDefault="00D8016D" w:rsidP="00A80827">
      <w:pPr>
        <w:ind w:left="397"/>
        <w:jc w:val="both"/>
        <w:rPr>
          <w:rFonts w:cstheme="minorHAnsi"/>
        </w:rPr>
      </w:pPr>
    </w:p>
    <w:p w:rsidR="00A80827" w:rsidRPr="00A80827" w:rsidRDefault="00A80827" w:rsidP="00A80827">
      <w:pPr>
        <w:ind w:left="397"/>
        <w:jc w:val="both"/>
        <w:rPr>
          <w:rFonts w:cstheme="minorHAnsi"/>
          <w:b/>
        </w:rPr>
      </w:pPr>
      <w:r w:rsidRPr="00A80827">
        <w:rPr>
          <w:b/>
        </w:rPr>
        <w:t>DISPOSIÇÕES GERAIS/INFORMAÇÕES COMPLEMENTARES</w:t>
      </w:r>
    </w:p>
    <w:p w:rsidR="00D8016D" w:rsidRPr="00A80827" w:rsidRDefault="00D8016D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>Neste sentido, o presente pregão será realizado e julgado pelo critério de Menor Preço Global por lote, declarando vencedor apenas e tão somente um licitante para cada lote. Assim sendo, faz-se necessário esclarecer que, o critério de julgamento adotado nesta licitação, qual seja, Menor Preço Global por lote, dificulta a ampla participação das empresas interessadas, vez que para concorrer, estas são obrigadas a apresentar proposta para TODOS os itens licitados no lote.</w:t>
      </w:r>
    </w:p>
    <w:p w:rsidR="00D75348" w:rsidRPr="00A80827" w:rsidRDefault="00D8016D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Em se tratando de licitação, há o pressuposto que haverá a participação do maior número possível de Licitantes, assim sendo, tal exigência em tela fere a Lei Federal nº 8.666/93 que assim dispõe: </w:t>
      </w:r>
    </w:p>
    <w:p w:rsidR="00954152" w:rsidRPr="00A80827" w:rsidRDefault="00D8016D" w:rsidP="00954152">
      <w:pPr>
        <w:ind w:left="454" w:right="283"/>
        <w:jc w:val="both"/>
        <w:rPr>
          <w:rFonts w:cstheme="minorHAnsi"/>
          <w:b/>
          <w:u w:val="single"/>
        </w:rPr>
      </w:pPr>
      <w:r w:rsidRPr="00A80827">
        <w:rPr>
          <w:rFonts w:cstheme="minorHAnsi"/>
        </w:rPr>
        <w:t xml:space="preserve">“Art. 3o A licitação destina-se a garantir a observância do </w:t>
      </w:r>
      <w:r w:rsidRPr="00A80827">
        <w:rPr>
          <w:rFonts w:cstheme="minorHAnsi"/>
          <w:b/>
          <w:u w:val="single"/>
        </w:rPr>
        <w:t>princípio constitucional da isonomia, a seleção da proposta mais vantajosa para a administração</w:t>
      </w:r>
      <w:r w:rsidRPr="00A80827">
        <w:rPr>
          <w:rFonts w:cstheme="minorHAnsi"/>
        </w:rPr>
        <w:t xml:space="preserve"> e a promoção do desenvolvimento nacional sustentável e será processada e julgada em estrita conformidade com os princípios básicos da legalidade, da impessoalidade, da moralidade, da igualdade, da publicidade, da probidade administrativa, da vinculação ao instrumento convocatório, do julgamento objetivo e dos que lhes são correlatos. </w:t>
      </w:r>
      <w:r w:rsidRPr="00A80827">
        <w:rPr>
          <w:rFonts w:cstheme="minorHAnsi"/>
          <w:b/>
          <w:u w:val="single"/>
        </w:rPr>
        <w:t xml:space="preserve">(Redação dada pela Lei nº 12.349, de 2010) </w:t>
      </w:r>
    </w:p>
    <w:p w:rsidR="00D75348" w:rsidRPr="00A80827" w:rsidRDefault="00D8016D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>§ 1o É vedado aos agentes públicos:</w:t>
      </w:r>
    </w:p>
    <w:p w:rsidR="00954152" w:rsidRPr="00A80827" w:rsidRDefault="00D8016D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 I - admitir, prever, incluir ou tolerar, nos atos de convocação, cláusulas ou condições que comprometam, restrinjam ou frustrem o seu caráter competitivo e estabeleçam preferências ou distinções em razão da naturalidade, da sede ou domicílio dos licitantes ou de qualquer outra circunstância impertinente ou irrelevante para o específico objeto do contrato;</w:t>
      </w:r>
    </w:p>
    <w:p w:rsidR="00954152" w:rsidRPr="00A80827" w:rsidRDefault="00D8016D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 II - </w:t>
      </w:r>
      <w:r w:rsidRPr="00A80827">
        <w:rPr>
          <w:rFonts w:cstheme="minorHAnsi"/>
          <w:b/>
          <w:u w:val="single"/>
        </w:rPr>
        <w:t>estabelecer tratamento diferenciado de natureza</w:t>
      </w:r>
      <w:r w:rsidRPr="00A80827">
        <w:rPr>
          <w:rFonts w:cstheme="minorHAnsi"/>
        </w:rPr>
        <w:t xml:space="preserve"> comercial, legal, trabalhista, previdenciária ou qualquer outra, entre empresas brasileiras e estrangeiras, inclusive no que se refere a moeda, modalidade e local de </w:t>
      </w:r>
      <w:r w:rsidRPr="00A80827">
        <w:rPr>
          <w:rFonts w:cstheme="minorHAnsi"/>
        </w:rPr>
        <w:lastRenderedPageBreak/>
        <w:t>pagamentos, mesmo quando envolvidos financiamentos de agências internacionais, ressalvado o disposto no parágrafo seguinte e no art. 3o da Lei no 8.248, de 23 de outubro de 1991.”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</w:p>
    <w:p w:rsidR="00954152" w:rsidRPr="00A80827" w:rsidRDefault="00D8016D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 Infere-se, no artigo 3º, </w:t>
      </w:r>
      <w:r w:rsidRPr="00A80827">
        <w:rPr>
          <w:rFonts w:cstheme="minorHAnsi"/>
          <w:b/>
          <w:u w:val="single"/>
        </w:rPr>
        <w:t>QUE É VEDADO À ADMINISTRAÇÃO A INCLUSÃO DE CONDIÇÕES QUE RESTRINJAM A PARTICIPAÇÃO NO PROCEDIMENTO LICITATÓRIO</w:t>
      </w:r>
      <w:r w:rsidRPr="00A80827">
        <w:rPr>
          <w:rFonts w:cstheme="minorHAnsi"/>
        </w:rPr>
        <w:t xml:space="preserve"> ou que maculem a isonomia das licitantes. Interpretando as disposições do artigo 3º, o ilustre especialista na área de licitação, o doutor MARÇAL JUSTEN FILHO assevera: “Os dispositivos restantes, acerca da licitação, desdobram os </w:t>
      </w:r>
      <w:r w:rsidRPr="00A80827">
        <w:rPr>
          <w:rFonts w:cstheme="minorHAnsi"/>
          <w:b/>
          <w:u w:val="single"/>
        </w:rPr>
        <w:t xml:space="preserve">princípios do art. 3º, que funciona como norteador do trabalho hermenêutico e de aplicação da Lei das licitações. Nenhuma solução, em caso algum, será sustentável quando colidente com o art. 3º. Dentre diversas soluções possíveis, deverão ser rejeitadas as incompatíveis com os princípios do art. 3º”. </w:t>
      </w:r>
      <w:r w:rsidRPr="00A80827">
        <w:rPr>
          <w:rFonts w:cstheme="minorHAnsi"/>
        </w:rPr>
        <w:t>(</w:t>
      </w:r>
      <w:proofErr w:type="gramStart"/>
      <w:r w:rsidRPr="00A80827">
        <w:rPr>
          <w:rFonts w:cstheme="minorHAnsi"/>
        </w:rPr>
        <w:t>in</w:t>
      </w:r>
      <w:proofErr w:type="gramEnd"/>
      <w:r w:rsidRPr="00A80827">
        <w:rPr>
          <w:rFonts w:cstheme="minorHAnsi"/>
        </w:rPr>
        <w:t xml:space="preserve"> ‘Comentários à Lei de Licitações e Contratos Administrativos’, Ed. Dialética, 5ª edição, fls. 54).</w:t>
      </w:r>
      <w:r w:rsidR="00954152" w:rsidRPr="00A80827">
        <w:rPr>
          <w:rFonts w:cstheme="minorHAnsi"/>
        </w:rPr>
        <w:t>]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Dessa forma, manter o Edital da maneira como está ofenderia até mesmo ao princípio da legalidade, que garante o direito de participação de QUALQUER INTERESSADO, sem que haja qualquer restrição, nos estritos termos da Lei. Ad </w:t>
      </w:r>
      <w:proofErr w:type="spellStart"/>
      <w:r w:rsidRPr="00A80827">
        <w:rPr>
          <w:rFonts w:cstheme="minorHAnsi"/>
        </w:rPr>
        <w:t>argumentandum</w:t>
      </w:r>
      <w:proofErr w:type="spellEnd"/>
      <w:r w:rsidRPr="00A80827">
        <w:rPr>
          <w:rFonts w:cstheme="minorHAnsi"/>
        </w:rPr>
        <w:t>, estabelece o art. 23, § 1 o da Lei n° 8.666/93, que estabelece:</w:t>
      </w:r>
      <w:r w:rsidRPr="00A80827">
        <w:rPr>
          <w:rFonts w:cstheme="minorHAnsi"/>
        </w:rPr>
        <w:br/>
      </w:r>
      <w:r w:rsidRPr="00A80827">
        <w:rPr>
          <w:rFonts w:cstheme="minorHAnsi"/>
        </w:rPr>
        <w:br/>
        <w:t xml:space="preserve"> "Art. 23 (...) § 1 o As obras, serviços e compras efetuadas pela Administração </w:t>
      </w:r>
      <w:r w:rsidRPr="00A80827">
        <w:rPr>
          <w:rFonts w:cstheme="minorHAnsi"/>
          <w:b/>
          <w:u w:val="single"/>
        </w:rPr>
        <w:t>serão divididas em tantas parcelas quantas se comprovarem técnica e economicamente viáveis</w:t>
      </w:r>
      <w:r w:rsidRPr="00A80827">
        <w:rPr>
          <w:rFonts w:cstheme="minorHAnsi"/>
        </w:rPr>
        <w:t xml:space="preserve">, procedendo-se à licitação com vistas ao melhor aproveitamento dos recursos disponíveis no mercado </w:t>
      </w:r>
      <w:r w:rsidRPr="00A80827">
        <w:rPr>
          <w:rFonts w:cstheme="minorHAnsi"/>
          <w:b/>
          <w:u w:val="single"/>
        </w:rPr>
        <w:t>e à ampliação da competitividade sem perda da economia de escala. (Redação dada pela Lei nº 8.883, de 1994)”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</w:p>
    <w:p w:rsidR="00D75348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Verifica-se no acórdão abaixo: Acórdão 2404/2010 Plenário (Relatório do Ministro Relator) 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>“</w:t>
      </w:r>
      <w:r w:rsidRPr="00A80827">
        <w:rPr>
          <w:rFonts w:cstheme="minorHAnsi"/>
          <w:b/>
          <w:u w:val="single"/>
        </w:rPr>
        <w:t>O TCU considerou irregularidade</w:t>
      </w:r>
      <w:r w:rsidRPr="00A80827">
        <w:rPr>
          <w:rFonts w:cstheme="minorHAnsi"/>
        </w:rPr>
        <w:t xml:space="preserve"> a agregação de serviços de natureza distinta, passíveis de parcelamento, em um único objeto de contratação, em desacordo com o disposto no art. 23, §§ 1º e 2º da Lei 8.666/1993.”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 Como ensina </w:t>
      </w:r>
      <w:proofErr w:type="spellStart"/>
      <w:r w:rsidRPr="00A80827">
        <w:rPr>
          <w:rFonts w:cstheme="minorHAnsi"/>
        </w:rPr>
        <w:t>Marçal.Justen</w:t>
      </w:r>
      <w:proofErr w:type="spellEnd"/>
      <w:r w:rsidRPr="00A80827">
        <w:rPr>
          <w:rFonts w:cstheme="minorHAnsi"/>
        </w:rPr>
        <w:t xml:space="preserve"> Filho: "Nos termos do princípio geral considerado no art. 23, § 1 </w:t>
      </w:r>
      <w:proofErr w:type="gramStart"/>
      <w:r w:rsidRPr="00A80827">
        <w:rPr>
          <w:rFonts w:cstheme="minorHAnsi"/>
        </w:rPr>
        <w:t>o ,</w:t>
      </w:r>
      <w:proofErr w:type="gramEnd"/>
      <w:r w:rsidRPr="00A80827">
        <w:rPr>
          <w:rFonts w:cstheme="minorHAnsi"/>
        </w:rPr>
        <w:t xml:space="preserve"> aplica-se a regra da preferência pelo fracionamento da contratação, quando isso for possível... O fracionamento visa ampliar a competitividade...” (Idem, op. cit., p. 181).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 É visto que a matéria tratada não exige maior debate jurídico, pois é assunto reiterado do Egrégio Tribunal de Contas da União, o qual já se pronunciou em diversos momentos: 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  <w:b/>
        </w:rPr>
      </w:pPr>
      <w:r w:rsidRPr="00A80827">
        <w:rPr>
          <w:rFonts w:cstheme="minorHAnsi"/>
          <w:b/>
        </w:rPr>
        <w:t xml:space="preserve">O TCU, na Decisão 393/94 do Plenário, assim se posicionou: 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"firmar o entendimento, de que, em decorrência do disposto no art. 3º, §1º, inciso I; art. 8º, § 1º e artigo 15, inciso IV, todos da Lei nº 8.666/1993, é obrigatória a admissão, nas licitações para a contratação de obras, serviços e compras, e para alienações, </w:t>
      </w:r>
      <w:r w:rsidRPr="00A80827">
        <w:rPr>
          <w:rFonts w:cstheme="minorHAnsi"/>
          <w:b/>
        </w:rPr>
        <w:t>onde o objeto for de natureza divisível, sem prejuízo do conjunto ou complexo, da adjudicação por itens e não pelo preço global, com vistas a propiciar a ampla participação dos licitantes que, embora não dispondo de capacidade para a execução, fornecimento ou aquisição da totalidade do objeto, possam, contudo, fazê-lo com referência a itens ou unidades autônomas, devendo as exigências de habilitação adequarem-se a essa divisibilidade"</w:t>
      </w:r>
      <w:r w:rsidRPr="00A80827">
        <w:rPr>
          <w:rFonts w:cstheme="minorHAnsi"/>
        </w:rPr>
        <w:t xml:space="preserve">. 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Na esteira desse entendimento, foi publicada </w:t>
      </w:r>
      <w:r w:rsidRPr="00A80827">
        <w:rPr>
          <w:rFonts w:cstheme="minorHAnsi"/>
          <w:b/>
        </w:rPr>
        <w:t>a SÚMULA Nº 247 DO TCU</w:t>
      </w:r>
      <w:r w:rsidRPr="00A80827">
        <w:rPr>
          <w:rFonts w:cstheme="minorHAnsi"/>
        </w:rPr>
        <w:t>, que estabeleceu que:</w:t>
      </w:r>
      <w:r w:rsidRPr="00A80827">
        <w:rPr>
          <w:rFonts w:cstheme="minorHAnsi"/>
        </w:rPr>
        <w:br/>
      </w:r>
      <w:r w:rsidRPr="00A80827">
        <w:rPr>
          <w:rFonts w:cstheme="minorHAnsi"/>
        </w:rPr>
        <w:br/>
        <w:t xml:space="preserve"> "</w:t>
      </w:r>
      <w:r w:rsidRPr="00A80827">
        <w:rPr>
          <w:rFonts w:cstheme="minorHAnsi"/>
          <w:b/>
        </w:rPr>
        <w:t>É OBRIGATÓRIA a admissão da adjudicação por item e não por preço global</w:t>
      </w:r>
      <w:r w:rsidRPr="00A80827">
        <w:rPr>
          <w:rFonts w:cstheme="minorHAnsi"/>
        </w:rPr>
        <w:t xml:space="preserve">, nos editais das licitações para a contratação de obras, serviços, compras e alienações, cujo objeto seja divisível, desde que não haja prejuízo para o conjunto ou complexo ou perda de economia de escala, </w:t>
      </w:r>
      <w:r w:rsidRPr="00A80827">
        <w:rPr>
          <w:rFonts w:cstheme="minorHAnsi"/>
          <w:b/>
          <w:u w:val="single"/>
        </w:rPr>
        <w:t xml:space="preserve">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divisibilidade". </w:t>
      </w:r>
      <w:r w:rsidRPr="00A80827">
        <w:rPr>
          <w:rFonts w:cstheme="minorHAnsi"/>
          <w:b/>
          <w:u w:val="single"/>
        </w:rPr>
        <w:br/>
      </w:r>
    </w:p>
    <w:p w:rsidR="00A80827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Para Jessé Torres Pereira Júnior, ao comentar acerca do parcelamento do objeto, o dispositivo quer </w:t>
      </w:r>
      <w:r w:rsidRPr="00A80827">
        <w:rPr>
          <w:rFonts w:cstheme="minorHAnsi"/>
          <w:b/>
          <w:u w:val="single"/>
        </w:rPr>
        <w:t>"ampliar a competitividade</w:t>
      </w:r>
      <w:r w:rsidRPr="00A80827">
        <w:rPr>
          <w:rFonts w:cstheme="minorHAnsi"/>
        </w:rPr>
        <w:t xml:space="preserve"> no âmbito do mesmo procedimento licitatório, destinado à compra da integralidade do objeto. A ampliação adviria da possibilidade de cada licitante apresentar-se ao certame para cotar quantidades parciais do objeto, na expectativa de que tal participação formasse mosaico mais variado de cotações de preço, </w:t>
      </w:r>
      <w:r w:rsidRPr="00A80827">
        <w:rPr>
          <w:rFonts w:cstheme="minorHAnsi"/>
          <w:b/>
        </w:rPr>
        <w:t>BARATEANDO A COMPRA, DE UM LADO, E PROPORCIONANDO MAIOR ACESSO AO CERTAME A EMPRESAS DE MENOR PORTE, DE OUTRO".</w:t>
      </w:r>
      <w:r w:rsidRPr="00A80827">
        <w:rPr>
          <w:rFonts w:cstheme="minorHAnsi"/>
        </w:rPr>
        <w:t xml:space="preserve"> O mesmo autor ensina que, existindo a possibilidade de parcelamento do objeto, esse é dever da Administração, sob pena de descumprir princípios específicos da licitação, tal como o da competitividade. </w:t>
      </w:r>
    </w:p>
    <w:p w:rsidR="00A80827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>Dessa forma, segundo a Jurisprudência Pátria, a Administração não se compadece com o princípio da Igualdade entre os licitantes ao fazer exigência, em edital de Processo Licitatório, que visa a restringir o número de participantes (TRF, in RD 166/155). É observado também, nestes termos:</w:t>
      </w:r>
    </w:p>
    <w:p w:rsidR="00A80827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 </w:t>
      </w:r>
      <w:r w:rsidRPr="00A80827">
        <w:rPr>
          <w:rFonts w:cstheme="minorHAnsi"/>
          <w:b/>
        </w:rPr>
        <w:t>“Acórdão 2477/2009-Plenário</w:t>
      </w:r>
      <w:r w:rsidRPr="00A80827">
        <w:rPr>
          <w:rFonts w:cstheme="minorHAnsi"/>
        </w:rPr>
        <w:t xml:space="preserve"> </w:t>
      </w:r>
      <w:r w:rsidR="00A80827" w:rsidRPr="00A80827">
        <w:rPr>
          <w:rFonts w:cstheme="minorHAnsi"/>
        </w:rPr>
        <w:br/>
      </w:r>
      <w:r w:rsidR="00A80827" w:rsidRPr="00A80827">
        <w:rPr>
          <w:rFonts w:cstheme="minorHAnsi"/>
        </w:rPr>
        <w:br/>
      </w:r>
      <w:r w:rsidRPr="00A80827">
        <w:rPr>
          <w:rFonts w:cstheme="minorHAnsi"/>
        </w:rPr>
        <w:t>Evite a inclusão de itens que restringem injustificadamente o caráter competitivo do certame e contrariam, dessa forma, o art. 3o, § 1o, inciso I, da Lei no 8.666/1993.”.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 A maioria das empresas licitantes, mesmo possuindo total condição de fornecer os produtos requeridos, não terão condições de participarem deste pregão, pois comercializam apenas alguns itens e não TODOS os 26 constantes no lote 01. 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Dessa forma, diminui a concorrência e consequentemente traz prejuízo financeiro ao órgão público. A Impugnante pretende, através do presente ato, que seja feito o desmembramento do Lote 01 do Edital, tornando os itens independentes entre si ou separando tais itens em mais lotes, que sejam REALMENTE do mesmo segmento, ampliando assim, o leque de empresas participantes do certame. Se o Edital restringe a participação de licitantes, torna-se impraticável o seu devido cumprimento, a presença do lote 01, com itens autônomos e distintos não se reveste de razoabilidade que deve nortear as contratações, pelo contrário, está dissonante com o seu fim colimado, assim deve ser impugnado o edital. </w:t>
      </w:r>
    </w:p>
    <w:p w:rsidR="00954152" w:rsidRPr="00A80827" w:rsidRDefault="00954152" w:rsidP="00954152">
      <w:pPr>
        <w:ind w:left="454" w:right="283"/>
        <w:jc w:val="both"/>
        <w:rPr>
          <w:rFonts w:cstheme="minorHAnsi"/>
        </w:rPr>
      </w:pPr>
      <w:r w:rsidRPr="00A80827">
        <w:rPr>
          <w:rFonts w:cstheme="minorHAnsi"/>
        </w:rPr>
        <w:t xml:space="preserve">Verifica-se que se trata de uma matéria amplamente discutida pelo Tribunal de Contas, disciplinada em Lei e regida pelos Princípios Constitucionais que regem os atos da Administração Pública. Assim, de acordo com os </w:t>
      </w:r>
      <w:r w:rsidRPr="00A80827">
        <w:rPr>
          <w:rFonts w:cstheme="minorHAnsi"/>
        </w:rPr>
        <w:lastRenderedPageBreak/>
        <w:t xml:space="preserve">fundamentos jurídicos aqui expendidos, que são fonte de valia universal perante a sociedade brasileira, e principalmente aos agentes públicos, - pois constituem proteção ao sagrado interesse público maior - razão </w:t>
      </w:r>
      <w:r w:rsidR="00A80827" w:rsidRPr="00A80827">
        <w:rPr>
          <w:rFonts w:cstheme="minorHAnsi"/>
        </w:rPr>
        <w:t>está</w:t>
      </w:r>
      <w:bookmarkStart w:id="0" w:name="_GoBack"/>
      <w:bookmarkEnd w:id="0"/>
      <w:r w:rsidRPr="00A80827">
        <w:rPr>
          <w:rFonts w:cstheme="minorHAnsi"/>
        </w:rPr>
        <w:t xml:space="preserve"> suficiente a proclamar a retificação do edital referente à presença do “lote 01” e julgamento utilizando o critério de menor preço global, pelas razões supracitadas.</w:t>
      </w:r>
    </w:p>
    <w:p w:rsidR="00A80827" w:rsidRPr="00A80827" w:rsidRDefault="00A80827" w:rsidP="00954152">
      <w:pPr>
        <w:ind w:left="454" w:right="283"/>
        <w:jc w:val="both"/>
        <w:rPr>
          <w:rFonts w:cstheme="minorHAnsi"/>
        </w:rPr>
      </w:pPr>
    </w:p>
    <w:p w:rsidR="00A80827" w:rsidRDefault="00A80827" w:rsidP="00954152">
      <w:pPr>
        <w:ind w:left="454" w:right="283"/>
        <w:jc w:val="both"/>
        <w:rPr>
          <w:rFonts w:cstheme="minorHAnsi"/>
          <w:b/>
        </w:rPr>
      </w:pPr>
      <w:r w:rsidRPr="00A80827">
        <w:rPr>
          <w:rFonts w:cstheme="minorHAnsi"/>
          <w:b/>
        </w:rPr>
        <w:t>DO PEDIDO</w:t>
      </w:r>
    </w:p>
    <w:p w:rsidR="00A80827" w:rsidRDefault="00A80827" w:rsidP="00954152">
      <w:pPr>
        <w:ind w:left="454" w:right="283"/>
        <w:jc w:val="both"/>
        <w:rPr>
          <w:rFonts w:cstheme="minorHAnsi"/>
          <w:b/>
        </w:rPr>
      </w:pPr>
      <w:r>
        <w:t>Requer que seja dado provimento a presente impugnação para que seja feito o desmembramento do Lote 01 do Edital, excluindo assim, as características ora impugnadas do ato convocatório, retificando o Edital.</w:t>
      </w:r>
      <w:r w:rsidRPr="00A80827">
        <w:rPr>
          <w:rFonts w:cstheme="minorHAnsi"/>
          <w:b/>
        </w:rPr>
        <w:br/>
      </w:r>
    </w:p>
    <w:p w:rsidR="00A80827" w:rsidRDefault="00A80827" w:rsidP="00954152">
      <w:pPr>
        <w:ind w:left="454" w:right="283"/>
        <w:jc w:val="both"/>
      </w:pPr>
      <w:r>
        <w:t>Nestes Termos,</w:t>
      </w:r>
      <w:r>
        <w:br/>
      </w:r>
      <w:r>
        <w:br/>
      </w:r>
      <w:r>
        <w:t xml:space="preserve"> P. Deferimento. </w:t>
      </w:r>
    </w:p>
    <w:p w:rsidR="00A80827" w:rsidRDefault="00A80827" w:rsidP="00954152">
      <w:pPr>
        <w:ind w:left="454" w:right="283"/>
        <w:jc w:val="both"/>
      </w:pPr>
    </w:p>
    <w:p w:rsidR="00A80827" w:rsidRDefault="00A80827" w:rsidP="00954152">
      <w:pPr>
        <w:ind w:left="454" w:right="283"/>
        <w:jc w:val="both"/>
      </w:pPr>
      <w:r>
        <w:t>Blumenau, 11 de setembro de 2020</w:t>
      </w:r>
      <w:r>
        <w:t>.</w:t>
      </w:r>
    </w:p>
    <w:p w:rsidR="00A80827" w:rsidRPr="00A80827" w:rsidRDefault="00A80827" w:rsidP="00954152">
      <w:pPr>
        <w:ind w:left="454" w:right="283"/>
        <w:jc w:val="both"/>
        <w:rPr>
          <w:b/>
        </w:rPr>
      </w:pPr>
    </w:p>
    <w:p w:rsidR="00A80827" w:rsidRPr="00A80827" w:rsidRDefault="00A80827" w:rsidP="00954152">
      <w:pPr>
        <w:ind w:left="454" w:right="283"/>
        <w:jc w:val="both"/>
        <w:rPr>
          <w:b/>
        </w:rPr>
      </w:pPr>
      <w:r>
        <w:rPr>
          <w:b/>
        </w:rPr>
        <w:t xml:space="preserve">MAURICIO LISBOA KOCH </w:t>
      </w:r>
      <w:r w:rsidRPr="00A80827">
        <w:rPr>
          <w:b/>
        </w:rPr>
        <w:t xml:space="preserve"> </w:t>
      </w:r>
    </w:p>
    <w:p w:rsidR="00A80827" w:rsidRPr="00A80827" w:rsidRDefault="00A80827" w:rsidP="00954152">
      <w:pPr>
        <w:ind w:left="454" w:right="283"/>
        <w:jc w:val="both"/>
        <w:rPr>
          <w:rFonts w:cstheme="minorHAnsi"/>
          <w:b/>
        </w:rPr>
      </w:pPr>
      <w:r w:rsidRPr="00A80827">
        <w:rPr>
          <w:b/>
        </w:rPr>
        <w:t>Representante Legal</w:t>
      </w:r>
    </w:p>
    <w:sectPr w:rsidR="00A80827" w:rsidRPr="00A80827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A6" w:rsidRDefault="00506DA6">
      <w:pPr>
        <w:spacing w:after="0" w:line="240" w:lineRule="auto"/>
      </w:pPr>
      <w:r>
        <w:separator/>
      </w:r>
    </w:p>
  </w:endnote>
  <w:endnote w:type="continuationSeparator" w:id="0">
    <w:p w:rsidR="00506DA6" w:rsidRDefault="0050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Microsoft YaHei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Segoe Print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DejaVu Sans Light">
    <w:altName w:val="Times New Roman"/>
    <w:charset w:val="00"/>
    <w:family w:val="roman"/>
    <w:pitch w:val="default"/>
    <w:sig w:usb0="00000001" w:usb1="5000007B" w:usb2="0800402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50" w:rsidRDefault="00B36FD6">
    <w:pPr>
      <w:pStyle w:val="Rodap"/>
      <w:jc w:val="center"/>
      <w:rPr>
        <w:color w:val="808080"/>
      </w:rPr>
    </w:pPr>
    <w:r>
      <w:rPr>
        <w:rFonts w:ascii="Dotum" w:eastAsia="Dotum" w:hAnsi="Dotum"/>
        <w:color w:val="808080"/>
        <w:sz w:val="20"/>
      </w:rPr>
      <w:t xml:space="preserve">Rua Luiz </w:t>
    </w:r>
    <w:proofErr w:type="spellStart"/>
    <w:r>
      <w:rPr>
        <w:rFonts w:ascii="Dotum" w:eastAsia="Dotum" w:hAnsi="Dotum"/>
        <w:color w:val="808080"/>
        <w:sz w:val="20"/>
      </w:rPr>
      <w:t>Altemburg</w:t>
    </w:r>
    <w:proofErr w:type="spellEnd"/>
    <w:r>
      <w:rPr>
        <w:rFonts w:ascii="Dotum" w:eastAsia="Dotum" w:hAnsi="Dotum"/>
        <w:color w:val="808080"/>
        <w:sz w:val="20"/>
      </w:rPr>
      <w:t xml:space="preserve"> </w:t>
    </w:r>
    <w:proofErr w:type="spellStart"/>
    <w:r>
      <w:rPr>
        <w:rFonts w:ascii="Dotum" w:eastAsia="Dotum" w:hAnsi="Dotum"/>
        <w:color w:val="808080"/>
        <w:sz w:val="20"/>
      </w:rPr>
      <w:t>Senior</w:t>
    </w:r>
    <w:proofErr w:type="spellEnd"/>
    <w:r>
      <w:rPr>
        <w:rFonts w:ascii="Dotum" w:eastAsia="Dotum" w:hAnsi="Dotum"/>
        <w:color w:val="808080"/>
        <w:sz w:val="20"/>
      </w:rPr>
      <w:t>, 635 – Sala 101 – Escola Agrícola - Blumenau – SC – CEP 89031-300</w:t>
    </w:r>
  </w:p>
  <w:p w:rsidR="00CB2A50" w:rsidRDefault="00B36FD6">
    <w:pPr>
      <w:pStyle w:val="Rodap"/>
      <w:jc w:val="center"/>
      <w:rPr>
        <w:rFonts w:ascii="Dotum" w:eastAsia="Dotum" w:hAnsi="Dotum"/>
        <w:sz w:val="20"/>
      </w:rPr>
    </w:pPr>
    <w:r>
      <w:rPr>
        <w:rFonts w:ascii="Dotum" w:eastAsia="Dotum" w:hAnsi="Dotum"/>
        <w:color w:val="808080"/>
        <w:sz w:val="20"/>
      </w:rPr>
      <w:t>Telefone (47) 3057-3930 | propostas@itaca.eco.br | CNPJ: 24.845.457/0001-65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A6" w:rsidRDefault="00506DA6">
      <w:pPr>
        <w:spacing w:after="0" w:line="240" w:lineRule="auto"/>
      </w:pPr>
      <w:r>
        <w:separator/>
      </w:r>
    </w:p>
  </w:footnote>
  <w:footnote w:type="continuationSeparator" w:id="0">
    <w:p w:rsidR="00506DA6" w:rsidRDefault="00506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50" w:rsidRDefault="00B36FD6">
    <w:pPr>
      <w:pStyle w:val="Cabealho"/>
      <w:jc w:val="right"/>
      <w:rPr>
        <w:rFonts w:ascii="Microsoft Yi Baiti" w:eastAsia="Microsoft Yi Baiti" w:hAnsi="Microsoft Yi Baiti" w:cs="DejaVu Sans Light"/>
        <w:b/>
        <w:sz w:val="52"/>
      </w:rPr>
    </w:pPr>
    <w:r>
      <w:rPr>
        <w:rFonts w:ascii="Microsoft Yi Baiti" w:eastAsia="Microsoft Yi Baiti" w:hAnsi="Microsoft Yi Baiti" w:cs="DejaVu Sans Light"/>
        <w:b/>
        <w:color w:val="808080"/>
        <w:sz w:val="52"/>
      </w:rPr>
      <w:t>ÍTACA EIRELI</w:t>
    </w:r>
  </w:p>
  <w:p w:rsidR="00CB2A50" w:rsidRDefault="00B36FD6">
    <w:pPr>
      <w:pStyle w:val="Cabealho"/>
      <w:jc w:val="right"/>
      <w:rPr>
        <w:rFonts w:ascii="DejaVu Sans Light" w:eastAsia="Dotum" w:hAnsi="DejaVu Sans Light" w:cs="DejaVu Sans Light"/>
        <w:sz w:val="24"/>
        <w:szCs w:val="20"/>
      </w:rPr>
    </w:pPr>
    <w:r>
      <w:rPr>
        <w:rFonts w:ascii="DejaVu Sans Light" w:eastAsia="Dotum" w:hAnsi="DejaVu Sans Light" w:cs="DejaVu Sans Light"/>
        <w:color w:val="808080"/>
        <w:sz w:val="24"/>
        <w:szCs w:val="20"/>
      </w:rPr>
      <w:t xml:space="preserve">CNPJ: 24.845.457/0001-65 - IE: 257.974.776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53517"/>
    <w:multiLevelType w:val="hybridMultilevel"/>
    <w:tmpl w:val="322E9F8E"/>
    <w:lvl w:ilvl="0" w:tplc="D152D12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0"/>
    <w:rsid w:val="0001704F"/>
    <w:rsid w:val="0003187E"/>
    <w:rsid w:val="001917B4"/>
    <w:rsid w:val="0025124E"/>
    <w:rsid w:val="002E6437"/>
    <w:rsid w:val="00455ACB"/>
    <w:rsid w:val="004F6B27"/>
    <w:rsid w:val="00506DA6"/>
    <w:rsid w:val="00534825"/>
    <w:rsid w:val="0058108F"/>
    <w:rsid w:val="005A21E8"/>
    <w:rsid w:val="005B5729"/>
    <w:rsid w:val="006B4DF1"/>
    <w:rsid w:val="006D57AA"/>
    <w:rsid w:val="007E5090"/>
    <w:rsid w:val="00825692"/>
    <w:rsid w:val="00835C39"/>
    <w:rsid w:val="00847E64"/>
    <w:rsid w:val="008930BB"/>
    <w:rsid w:val="00910859"/>
    <w:rsid w:val="00954152"/>
    <w:rsid w:val="00962929"/>
    <w:rsid w:val="00A729FD"/>
    <w:rsid w:val="00A80827"/>
    <w:rsid w:val="00AA768A"/>
    <w:rsid w:val="00AE6591"/>
    <w:rsid w:val="00B36FD6"/>
    <w:rsid w:val="00BE58D5"/>
    <w:rsid w:val="00CB2A50"/>
    <w:rsid w:val="00CF4218"/>
    <w:rsid w:val="00D75348"/>
    <w:rsid w:val="00D8016D"/>
    <w:rsid w:val="00DA42DF"/>
    <w:rsid w:val="00E56DC6"/>
    <w:rsid w:val="00F153BE"/>
    <w:rsid w:val="00F31DC6"/>
    <w:rsid w:val="00F44516"/>
    <w:rsid w:val="00FC1661"/>
    <w:rsid w:val="32D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03731-C856-4C39-AFCB-D13CD7A8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1"/>
    <w:rPr>
      <w:rFonts w:cs="Mangal"/>
    </w:rPr>
  </w:style>
  <w:style w:type="paragraph" w:customStyle="1" w:styleId="Corpodetexto1">
    <w:name w:val="Corpo de texto1"/>
    <w:basedOn w:val="Normal"/>
    <w:qFormat/>
    <w:pPr>
      <w:spacing w:after="283" w:line="240" w:lineRule="auto"/>
    </w:pPr>
    <w:rPr>
      <w:rFonts w:ascii="Tahoma" w:eastAsia="Times New Roman" w:hAnsi="Tahoma" w:cs="Tahoma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LinkdaInternet">
    <w:name w:val="Link da Internet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fase1">
    <w:name w:val="Ênfase1"/>
    <w:basedOn w:val="Fontepargpadro"/>
    <w:uiPriority w:val="20"/>
    <w:qFormat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qFormat/>
    <w:rPr>
      <w:i/>
      <w:iCs/>
      <w:color w:val="000000" w:themeColor="text1"/>
    </w:rPr>
  </w:style>
  <w:style w:type="paragraph" w:styleId="Citao">
    <w:name w:val="Quote"/>
    <w:basedOn w:val="Normal"/>
    <w:next w:val="Normal"/>
    <w:link w:val="CitaoChar"/>
    <w:uiPriority w:val="29"/>
    <w:qFormat/>
    <w:rPr>
      <w:i/>
      <w:iCs/>
      <w:color w:val="000000" w:themeColor="text1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Pr>
      <w:b/>
      <w:bCs/>
      <w:i/>
      <w:iCs/>
      <w:color w:val="5B9BD5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faseSutil1">
    <w:name w:val="Ênfase Sutil1"/>
    <w:basedOn w:val="Fontepargpadro"/>
    <w:uiPriority w:val="19"/>
    <w:qFormat/>
    <w:rPr>
      <w:i/>
      <w:iCs/>
      <w:color w:val="7F7F7F" w:themeColor="text1" w:themeTint="80"/>
    </w:rPr>
  </w:style>
  <w:style w:type="character" w:customStyle="1" w:styleId="nfaseIntensa1">
    <w:name w:val="Ênfase Intensa1"/>
    <w:basedOn w:val="Fontepargpadro"/>
    <w:uiPriority w:val="21"/>
    <w:qFormat/>
    <w:rPr>
      <w:b/>
      <w:bCs/>
      <w:i/>
      <w:iCs/>
      <w:color w:val="5B9BD5" w:themeColor="accent1"/>
    </w:rPr>
  </w:style>
  <w:style w:type="character" w:customStyle="1" w:styleId="RefernciaSutil1">
    <w:name w:val="Referência Sutil1"/>
    <w:basedOn w:val="Fontepargpadro"/>
    <w:uiPriority w:val="31"/>
    <w:qFormat/>
    <w:rPr>
      <w:smallCaps/>
      <w:color w:val="ED7D31" w:themeColor="accent2"/>
      <w:u w:val="single"/>
    </w:rPr>
  </w:style>
  <w:style w:type="character" w:customStyle="1" w:styleId="RefernciaIntensa1">
    <w:name w:val="Referência Intensa1"/>
    <w:basedOn w:val="Fontepargpadro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TtulodoLivro1">
    <w:name w:val="Título do Livro1"/>
    <w:basedOn w:val="Fontepargpadro"/>
    <w:uiPriority w:val="33"/>
    <w:qFormat/>
    <w:rPr>
      <w:b/>
      <w:bCs/>
      <w:smallCaps/>
      <w:spacing w:val="5"/>
    </w:rPr>
  </w:style>
  <w:style w:type="paragraph" w:customStyle="1" w:styleId="Ttulo10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SemEspaamento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516"/>
    <w:rPr>
      <w:rFonts w:ascii="Segoe UI" w:eastAsiaTheme="minorEastAsia" w:hAnsi="Segoe UI" w:cs="Segoe UI"/>
      <w:sz w:val="18"/>
      <w:szCs w:val="18"/>
      <w:lang w:eastAsia="en-US"/>
    </w:rPr>
  </w:style>
  <w:style w:type="paragraph" w:customStyle="1" w:styleId="Ttulo2Arial">
    <w:name w:val="Título 2 + Arial"/>
    <w:aliases w:val="À esquerda,Não Expandido por / Condensado por,Espaçament..."/>
    <w:basedOn w:val="Ttulo2"/>
    <w:uiPriority w:val="99"/>
    <w:rsid w:val="00D8016D"/>
    <w:pPr>
      <w:keepLines w:val="0"/>
      <w:spacing w:before="0" w:line="240" w:lineRule="auto"/>
    </w:pPr>
    <w:rPr>
      <w:rFonts w:ascii="Arial" w:eastAsia="Batang" w:hAnsi="Arial" w:cs="Arial"/>
      <w:b w:val="0"/>
      <w:bCs w:val="0"/>
      <w:color w:val="auto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E3D3A-4AC8-46C7-B7C0-2B51BB8B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1495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Rose</cp:lastModifiedBy>
  <cp:revision>3</cp:revision>
  <cp:lastPrinted>2020-07-08T19:58:00Z</cp:lastPrinted>
  <dcterms:created xsi:type="dcterms:W3CDTF">2020-09-10T22:00:00Z</dcterms:created>
  <dcterms:modified xsi:type="dcterms:W3CDTF">2020-09-11T11:33:00Z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1046-11.2.0.9031</vt:lpwstr>
  </property>
</Properties>
</file>