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4516" w:rsidRDefault="00F44516" w:rsidP="00F44516">
      <w:pPr>
        <w:autoSpaceDE w:val="0"/>
        <w:autoSpaceDN w:val="0"/>
        <w:adjustRightInd w:val="0"/>
        <w:spacing w:after="0" w:line="240" w:lineRule="auto"/>
        <w:rPr>
          <w:rFonts w:ascii="Calibri" w:eastAsia="SimSun" w:hAnsi="Calibri" w:cs="Calibri"/>
          <w:color w:val="000000"/>
          <w:sz w:val="24"/>
          <w:szCs w:val="24"/>
          <w:lang w:eastAsia="pt-BR"/>
        </w:rPr>
      </w:pPr>
    </w:p>
    <w:p w:rsidR="00F44516" w:rsidRDefault="00F44516" w:rsidP="00F44516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SimSun" w:hAnsi="Calibri" w:cs="Calibri"/>
          <w:b/>
          <w:color w:val="000000"/>
          <w:sz w:val="24"/>
          <w:szCs w:val="24"/>
          <w:lang w:eastAsia="pt-BR"/>
        </w:rPr>
      </w:pPr>
    </w:p>
    <w:p w:rsidR="00F44516" w:rsidRDefault="00F44516" w:rsidP="00F44516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SimSun" w:hAnsi="Calibri" w:cs="Calibri"/>
          <w:b/>
          <w:color w:val="000000"/>
          <w:sz w:val="24"/>
          <w:szCs w:val="24"/>
          <w:lang w:eastAsia="pt-BR"/>
        </w:rPr>
      </w:pPr>
    </w:p>
    <w:p w:rsidR="00D8016D" w:rsidRDefault="00D8016D" w:rsidP="00A80827">
      <w:pPr>
        <w:pStyle w:val="Ttulo2Arial"/>
        <w:ind w:left="34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ILUSTRÍSSIMO SENHOR PREGOEIR</w:t>
      </w:r>
      <w:r w:rsidRPr="00D8016D">
        <w:rPr>
          <w:rFonts w:asciiTheme="minorHAnsi" w:hAnsiTheme="minorHAnsi" w:cstheme="minorHAnsi"/>
        </w:rPr>
        <w:t>O DO MUNICÍPIO DE FLOR DO SERTÃO</w:t>
      </w:r>
    </w:p>
    <w:p w:rsidR="00D8016D" w:rsidRDefault="00D8016D" w:rsidP="00D8016D">
      <w:pPr>
        <w:pStyle w:val="Ttulo2Arial"/>
        <w:rPr>
          <w:rFonts w:asciiTheme="minorHAnsi" w:hAnsiTheme="minorHAnsi" w:cstheme="minorHAnsi"/>
        </w:rPr>
      </w:pPr>
    </w:p>
    <w:p w:rsidR="00D8016D" w:rsidRDefault="00D8016D" w:rsidP="00D8016D">
      <w:pPr>
        <w:pStyle w:val="Ttulo2Arial"/>
        <w:rPr>
          <w:rFonts w:asciiTheme="minorHAnsi" w:hAnsiTheme="minorHAnsi" w:cstheme="minorHAnsi"/>
        </w:rPr>
      </w:pPr>
    </w:p>
    <w:p w:rsidR="00D8016D" w:rsidRPr="00A80827" w:rsidRDefault="00D8016D" w:rsidP="00A80827">
      <w:pPr>
        <w:pStyle w:val="Ttulo2Arial"/>
        <w:ind w:left="340" w:right="340"/>
        <w:jc w:val="both"/>
        <w:rPr>
          <w:rFonts w:asciiTheme="minorHAnsi" w:hAnsiTheme="minorHAnsi" w:cstheme="minorHAnsi"/>
          <w:sz w:val="24"/>
          <w:szCs w:val="24"/>
        </w:rPr>
      </w:pPr>
      <w:r w:rsidRPr="00A80827">
        <w:rPr>
          <w:rFonts w:asciiTheme="minorHAnsi" w:hAnsiTheme="minorHAnsi" w:cstheme="minorHAnsi"/>
          <w:b/>
          <w:sz w:val="24"/>
          <w:szCs w:val="24"/>
        </w:rPr>
        <w:t xml:space="preserve">A ÍTACA EIRELI </w:t>
      </w:r>
      <w:r w:rsidRPr="00A80827">
        <w:rPr>
          <w:rFonts w:asciiTheme="minorHAnsi" w:hAnsiTheme="minorHAnsi" w:cstheme="minorHAnsi"/>
          <w:sz w:val="24"/>
          <w:szCs w:val="24"/>
        </w:rPr>
        <w:t xml:space="preserve">pessoa jurídica de direito privado, inscrita no CNPJ sob o n° 24.845.457/0001-65, estabelecida em Blumenau-SC, situada na Rua Luiz </w:t>
      </w:r>
      <w:proofErr w:type="spellStart"/>
      <w:r w:rsidRPr="00A80827">
        <w:rPr>
          <w:rFonts w:asciiTheme="minorHAnsi" w:hAnsiTheme="minorHAnsi" w:cstheme="minorHAnsi"/>
          <w:sz w:val="24"/>
          <w:szCs w:val="24"/>
        </w:rPr>
        <w:t>Altemburg</w:t>
      </w:r>
      <w:proofErr w:type="spellEnd"/>
      <w:r w:rsidRPr="00A80827">
        <w:rPr>
          <w:rFonts w:asciiTheme="minorHAnsi" w:hAnsiTheme="minorHAnsi" w:cstheme="minorHAnsi"/>
          <w:sz w:val="24"/>
          <w:szCs w:val="24"/>
        </w:rPr>
        <w:t xml:space="preserve"> Sênior, 635- Bairro: Escola Agrícola, CEP.: 88031-300, por seu representante legal Sr. MAURICIO LISBOA KOCH, portador da carteira de identidade RG nº 4631;143 - SSP/SC, e inscrito sob o CPF n° 087.571.189-81, vem, tempestivamente à presença de V. Sas., com fundamento no artigo 41 e seus parágrafos da Lei Federal nº 8.666/93 , interpor a presente IMPUGNAÇÃO AO EDITAL DE PREGÃO Nº 19/2020, pelos seguintes fundamentos de fato e de direito:</w:t>
      </w:r>
    </w:p>
    <w:p w:rsidR="00D8016D" w:rsidRPr="00A80827" w:rsidRDefault="00D8016D" w:rsidP="00954152">
      <w:pPr>
        <w:pStyle w:val="Ttulo2Arial"/>
        <w:jc w:val="both"/>
        <w:rPr>
          <w:rFonts w:asciiTheme="minorHAnsi" w:hAnsiTheme="minorHAnsi" w:cstheme="minorHAnsi"/>
          <w:sz w:val="24"/>
          <w:szCs w:val="24"/>
        </w:rPr>
      </w:pPr>
    </w:p>
    <w:p w:rsidR="00D8016D" w:rsidRPr="00A80827" w:rsidRDefault="00D8016D" w:rsidP="00954152">
      <w:pPr>
        <w:pStyle w:val="Ttulo2Arial"/>
        <w:jc w:val="both"/>
        <w:rPr>
          <w:rFonts w:asciiTheme="minorHAnsi" w:hAnsiTheme="minorHAnsi" w:cstheme="minorHAnsi"/>
          <w:sz w:val="24"/>
          <w:szCs w:val="24"/>
        </w:rPr>
      </w:pPr>
    </w:p>
    <w:p w:rsidR="00D8016D" w:rsidRPr="00A80827" w:rsidRDefault="00D8016D" w:rsidP="00954152">
      <w:pPr>
        <w:pStyle w:val="Ttulo2Arial"/>
        <w:jc w:val="both"/>
        <w:rPr>
          <w:rFonts w:asciiTheme="minorHAnsi" w:hAnsiTheme="minorHAnsi" w:cstheme="minorHAnsi"/>
          <w:sz w:val="24"/>
          <w:szCs w:val="24"/>
        </w:rPr>
      </w:pPr>
    </w:p>
    <w:p w:rsidR="00D8016D" w:rsidRPr="00A80827" w:rsidRDefault="00D8016D" w:rsidP="00A80827">
      <w:pPr>
        <w:pStyle w:val="Ttulo2Arial"/>
        <w:ind w:left="397"/>
        <w:jc w:val="both"/>
        <w:rPr>
          <w:rFonts w:asciiTheme="minorHAnsi" w:hAnsiTheme="minorHAnsi" w:cstheme="minorHAnsi"/>
          <w:sz w:val="24"/>
          <w:szCs w:val="24"/>
        </w:rPr>
      </w:pPr>
      <w:r w:rsidRPr="00A80827">
        <w:rPr>
          <w:rFonts w:asciiTheme="minorHAnsi" w:hAnsiTheme="minorHAnsi" w:cstheme="minorHAnsi"/>
          <w:b/>
          <w:sz w:val="24"/>
          <w:szCs w:val="24"/>
        </w:rPr>
        <w:t>DO MÉRITO DA IMPUGNAÇÃO</w:t>
      </w:r>
      <w:r w:rsidRPr="00A80827">
        <w:rPr>
          <w:rFonts w:asciiTheme="minorHAnsi" w:hAnsiTheme="minorHAnsi" w:cstheme="minorHAnsi"/>
        </w:rPr>
        <w:t xml:space="preserve"> </w:t>
      </w:r>
      <w:r w:rsidRPr="00A80827">
        <w:rPr>
          <w:rFonts w:asciiTheme="minorHAnsi" w:hAnsiTheme="minorHAnsi" w:cstheme="minorHAnsi"/>
        </w:rPr>
        <w:br/>
      </w:r>
      <w:r w:rsidRPr="00A80827">
        <w:rPr>
          <w:rFonts w:asciiTheme="minorHAnsi" w:hAnsiTheme="minorHAnsi" w:cstheme="minorHAnsi"/>
        </w:rPr>
        <w:br/>
        <w:t>O edital informa que o julgamento será do tipo “MENOR PREÇO GLOBAL POR LOTE”:</w:t>
      </w:r>
    </w:p>
    <w:p w:rsidR="00D8016D" w:rsidRDefault="00D8016D" w:rsidP="00A80827">
      <w:pPr>
        <w:ind w:left="397"/>
        <w:jc w:val="both"/>
        <w:rPr>
          <w:rFonts w:cstheme="minorHAnsi"/>
        </w:rPr>
      </w:pPr>
    </w:p>
    <w:p w:rsidR="00A80827" w:rsidRPr="00A80827" w:rsidRDefault="00A80827" w:rsidP="00A80827">
      <w:pPr>
        <w:ind w:left="397"/>
        <w:jc w:val="both"/>
        <w:rPr>
          <w:rFonts w:cstheme="minorHAnsi"/>
          <w:b/>
        </w:rPr>
      </w:pPr>
      <w:r w:rsidRPr="00A80827">
        <w:rPr>
          <w:b/>
        </w:rPr>
        <w:t>DISPOSIÇÕES GERAIS/INFORMAÇÕES COMPLEMENTARES</w:t>
      </w:r>
    </w:p>
    <w:p w:rsidR="00D8016D" w:rsidRPr="00A80827" w:rsidRDefault="00D8016D" w:rsidP="00954152">
      <w:pPr>
        <w:ind w:left="454" w:right="283"/>
        <w:jc w:val="both"/>
        <w:rPr>
          <w:rFonts w:cstheme="minorHAnsi"/>
        </w:rPr>
      </w:pPr>
      <w:r w:rsidRPr="00A80827">
        <w:rPr>
          <w:rFonts w:cstheme="minorHAnsi"/>
        </w:rPr>
        <w:t>Neste sentido, o presente pregão será realizado e julgado pelo critério de Menor Preço Global por lote, declarando vencedor apenas e tão somente um licitante para cada lote. Assim sendo, faz-se necessário esclarecer que, o critério de julgamento adotado nesta licitação, qual seja, Menor Preço Global por lote, dificulta a ampla participação das empresas interessadas, vez que para concorrer, estas são obrigadas a apresentar proposta para TODOS os itens licitados no lote.</w:t>
      </w:r>
    </w:p>
    <w:p w:rsidR="00D75348" w:rsidRPr="00A80827" w:rsidRDefault="00D8016D" w:rsidP="00954152">
      <w:pPr>
        <w:ind w:left="454" w:right="283"/>
        <w:jc w:val="both"/>
        <w:rPr>
          <w:rFonts w:cstheme="minorHAnsi"/>
        </w:rPr>
      </w:pPr>
      <w:r w:rsidRPr="00A80827">
        <w:rPr>
          <w:rFonts w:cstheme="minorHAnsi"/>
        </w:rPr>
        <w:t xml:space="preserve">Em se tratando de licitação, há o pressuposto que haverá a participação do maior número possível de Licitantes, assim sendo, tal exigência em tela fere a Lei Federal nº 8.666/93 que assim dispõe: </w:t>
      </w:r>
    </w:p>
    <w:p w:rsidR="00954152" w:rsidRPr="00A80827" w:rsidRDefault="00D8016D" w:rsidP="00954152">
      <w:pPr>
        <w:ind w:left="454" w:right="283"/>
        <w:jc w:val="both"/>
        <w:rPr>
          <w:rFonts w:cstheme="minorHAnsi"/>
          <w:b/>
          <w:u w:val="single"/>
        </w:rPr>
      </w:pPr>
      <w:r w:rsidRPr="00A80827">
        <w:rPr>
          <w:rFonts w:cstheme="minorHAnsi"/>
        </w:rPr>
        <w:t xml:space="preserve">“Art. 3o A licitação destina-se a garantir a observância do </w:t>
      </w:r>
      <w:r w:rsidRPr="00A80827">
        <w:rPr>
          <w:rFonts w:cstheme="minorHAnsi"/>
          <w:b/>
          <w:u w:val="single"/>
        </w:rPr>
        <w:t>princípio constitucional da isonomia, a seleção da proposta mais vantajosa para a administração</w:t>
      </w:r>
      <w:r w:rsidRPr="00A80827">
        <w:rPr>
          <w:rFonts w:cstheme="minorHAnsi"/>
        </w:rPr>
        <w:t xml:space="preserve"> e a promoção do desenvolvimento nacional sustentável e será processada e julgada em estrita conformidade com os princípios básicos da legalidade, da impessoalidade, da moralidade, da igualdade, da publicidade, da probidade administrativa, da vinculação ao instrumento convocatório, do julgamento objetivo e dos que lhes são correlatos. </w:t>
      </w:r>
      <w:r w:rsidRPr="00A80827">
        <w:rPr>
          <w:rFonts w:cstheme="minorHAnsi"/>
          <w:b/>
          <w:u w:val="single"/>
        </w:rPr>
        <w:t xml:space="preserve">(Redação dada pela Lei nº 12.349, de 2010) </w:t>
      </w:r>
    </w:p>
    <w:p w:rsidR="00D75348" w:rsidRPr="00A80827" w:rsidRDefault="00D8016D" w:rsidP="00954152">
      <w:pPr>
        <w:ind w:left="454" w:right="283"/>
        <w:jc w:val="both"/>
        <w:rPr>
          <w:rFonts w:cstheme="minorHAnsi"/>
        </w:rPr>
      </w:pPr>
      <w:r w:rsidRPr="00A80827">
        <w:rPr>
          <w:rFonts w:cstheme="minorHAnsi"/>
        </w:rPr>
        <w:t>§ 1o É vedado aos agentes públicos:</w:t>
      </w:r>
    </w:p>
    <w:p w:rsidR="00954152" w:rsidRPr="00A80827" w:rsidRDefault="00D8016D" w:rsidP="00954152">
      <w:pPr>
        <w:ind w:left="454" w:right="283"/>
        <w:jc w:val="both"/>
        <w:rPr>
          <w:rFonts w:cstheme="minorHAnsi"/>
        </w:rPr>
      </w:pPr>
      <w:r w:rsidRPr="00A80827">
        <w:rPr>
          <w:rFonts w:cstheme="minorHAnsi"/>
        </w:rPr>
        <w:t xml:space="preserve"> I - admitir, prever, incluir ou tolerar, nos atos de convocação, cláusulas ou condições que comprometam, restrinjam ou frustrem o seu caráter competitivo e estabeleçam preferências ou distinções em razão da naturalidade, da sede ou domicílio dos licitantes ou de qualquer outra circunstância impertinente ou irrelevante para o específico objeto do contrato;</w:t>
      </w:r>
    </w:p>
    <w:p w:rsidR="00954152" w:rsidRPr="00A80827" w:rsidRDefault="00D8016D" w:rsidP="00954152">
      <w:pPr>
        <w:ind w:left="454" w:right="283"/>
        <w:jc w:val="both"/>
        <w:rPr>
          <w:rFonts w:cstheme="minorHAnsi"/>
        </w:rPr>
      </w:pPr>
      <w:r w:rsidRPr="00A80827">
        <w:rPr>
          <w:rFonts w:cstheme="minorHAnsi"/>
        </w:rPr>
        <w:t xml:space="preserve"> II - </w:t>
      </w:r>
      <w:r w:rsidRPr="00A80827">
        <w:rPr>
          <w:rFonts w:cstheme="minorHAnsi"/>
          <w:b/>
          <w:u w:val="single"/>
        </w:rPr>
        <w:t>estabelecer tratamento diferenciado de natureza</w:t>
      </w:r>
      <w:r w:rsidRPr="00A80827">
        <w:rPr>
          <w:rFonts w:cstheme="minorHAnsi"/>
        </w:rPr>
        <w:t xml:space="preserve"> comercial, legal, trabalhista, previdenciária ou qualquer outra, entre empresas brasileiras e estrangeiras, inclusive no que se refere a moeda, modalidade e local de </w:t>
      </w:r>
      <w:r w:rsidRPr="00A80827">
        <w:rPr>
          <w:rFonts w:cstheme="minorHAnsi"/>
        </w:rPr>
        <w:lastRenderedPageBreak/>
        <w:t>pagamentos, mesmo quando envolvidos financiamentos de agências internacionais, ressalvado o disposto no parágrafo seguinte e no art. 3o da Lei no 8.248, de 23 de outubro de 1991.”</w:t>
      </w:r>
    </w:p>
    <w:p w:rsidR="00954152" w:rsidRPr="00A80827" w:rsidRDefault="00954152" w:rsidP="00954152">
      <w:pPr>
        <w:ind w:left="454" w:right="283"/>
        <w:jc w:val="both"/>
        <w:rPr>
          <w:rFonts w:cstheme="minorHAnsi"/>
        </w:rPr>
      </w:pPr>
    </w:p>
    <w:p w:rsidR="00954152" w:rsidRPr="00A80827" w:rsidRDefault="00D8016D" w:rsidP="00954152">
      <w:pPr>
        <w:ind w:left="454" w:right="283"/>
        <w:jc w:val="both"/>
        <w:rPr>
          <w:rFonts w:cstheme="minorHAnsi"/>
        </w:rPr>
      </w:pPr>
      <w:r w:rsidRPr="00A80827">
        <w:rPr>
          <w:rFonts w:cstheme="minorHAnsi"/>
        </w:rPr>
        <w:t xml:space="preserve"> Infere-se, no artigo 3º, </w:t>
      </w:r>
      <w:r w:rsidRPr="00A80827">
        <w:rPr>
          <w:rFonts w:cstheme="minorHAnsi"/>
          <w:b/>
          <w:u w:val="single"/>
        </w:rPr>
        <w:t>QUE É VEDADO À ADMINISTRAÇÃO A INCLUSÃO DE CONDIÇÕES QUE RESTRINJAM A PARTICIPAÇÃO NO PROCEDIMENTO LICITATÓRIO</w:t>
      </w:r>
      <w:r w:rsidRPr="00A80827">
        <w:rPr>
          <w:rFonts w:cstheme="minorHAnsi"/>
        </w:rPr>
        <w:t xml:space="preserve"> ou que maculem a isonomia das licitantes. Interpretando as disposições do artigo 3º, o ilustre especialista na área de licitação, o doutor MARÇAL JUSTEN FILHO assevera: “Os dispositivos restantes, acerca da licitação, desdobram os </w:t>
      </w:r>
      <w:r w:rsidRPr="00A80827">
        <w:rPr>
          <w:rFonts w:cstheme="minorHAnsi"/>
          <w:b/>
          <w:u w:val="single"/>
        </w:rPr>
        <w:t xml:space="preserve">princípios do art. 3º, que funciona como norteador do trabalho hermenêutico e de aplicação da Lei das licitações. Nenhuma solução, em caso algum, será sustentável quando colidente com o art. 3º. Dentre diversas soluções possíveis, deverão ser rejeitadas as incompatíveis com os princípios do art. 3º”. </w:t>
      </w:r>
      <w:r w:rsidRPr="00A80827">
        <w:rPr>
          <w:rFonts w:cstheme="minorHAnsi"/>
        </w:rPr>
        <w:t>(</w:t>
      </w:r>
      <w:proofErr w:type="gramStart"/>
      <w:r w:rsidRPr="00A80827">
        <w:rPr>
          <w:rFonts w:cstheme="minorHAnsi"/>
        </w:rPr>
        <w:t>in</w:t>
      </w:r>
      <w:proofErr w:type="gramEnd"/>
      <w:r w:rsidRPr="00A80827">
        <w:rPr>
          <w:rFonts w:cstheme="minorHAnsi"/>
        </w:rPr>
        <w:t xml:space="preserve"> ‘Comentários à Lei de Licitações e Contratos Administrativos’, Ed. Dialética, 5ª edição, fls. 54).</w:t>
      </w:r>
      <w:r w:rsidR="00954152" w:rsidRPr="00A80827">
        <w:rPr>
          <w:rFonts w:cstheme="minorHAnsi"/>
        </w:rPr>
        <w:t>]</w:t>
      </w:r>
    </w:p>
    <w:p w:rsidR="00954152" w:rsidRPr="00A80827" w:rsidRDefault="00954152" w:rsidP="00954152">
      <w:pPr>
        <w:ind w:left="454" w:right="283"/>
        <w:jc w:val="both"/>
        <w:rPr>
          <w:rFonts w:cstheme="minorHAnsi"/>
        </w:rPr>
      </w:pPr>
      <w:r w:rsidRPr="00A80827">
        <w:rPr>
          <w:rFonts w:cstheme="minorHAnsi"/>
        </w:rPr>
        <w:t xml:space="preserve">Dessa forma, manter o Edital da maneira como está ofenderia até mesmo ao princípio da legalidade, que garante o direito de participação de QUALQUER INTERESSADO, sem que haja qualquer restrição, nos estritos termos da Lei. Ad </w:t>
      </w:r>
      <w:proofErr w:type="spellStart"/>
      <w:r w:rsidRPr="00A80827">
        <w:rPr>
          <w:rFonts w:cstheme="minorHAnsi"/>
        </w:rPr>
        <w:t>argumentandum</w:t>
      </w:r>
      <w:proofErr w:type="spellEnd"/>
      <w:r w:rsidRPr="00A80827">
        <w:rPr>
          <w:rFonts w:cstheme="minorHAnsi"/>
        </w:rPr>
        <w:t>, estabelece o art. 23, § 1 o da Lei n° 8.666/93, que estabelece:</w:t>
      </w:r>
      <w:r w:rsidRPr="00A80827">
        <w:rPr>
          <w:rFonts w:cstheme="minorHAnsi"/>
        </w:rPr>
        <w:br/>
      </w:r>
      <w:r w:rsidRPr="00A80827">
        <w:rPr>
          <w:rFonts w:cstheme="minorHAnsi"/>
        </w:rPr>
        <w:br/>
        <w:t xml:space="preserve"> "Art. 23 (...) § 1 o As obras, serviços e compras efetuadas pela Administração </w:t>
      </w:r>
      <w:r w:rsidRPr="00A80827">
        <w:rPr>
          <w:rFonts w:cstheme="minorHAnsi"/>
          <w:b/>
          <w:u w:val="single"/>
        </w:rPr>
        <w:t>serão divididas em tantas parcelas quantas se comprovarem técnica e economicamente viáveis</w:t>
      </w:r>
      <w:r w:rsidRPr="00A80827">
        <w:rPr>
          <w:rFonts w:cstheme="minorHAnsi"/>
        </w:rPr>
        <w:t xml:space="preserve">, procedendo-se à licitação com vistas ao melhor aproveitamento dos recursos disponíveis no mercado </w:t>
      </w:r>
      <w:r w:rsidRPr="00A80827">
        <w:rPr>
          <w:rFonts w:cstheme="minorHAnsi"/>
          <w:b/>
          <w:u w:val="single"/>
        </w:rPr>
        <w:t>e à ampliação da competitividade sem perda da economia de escala. (Redação dada pela Lei nº 8.883, de 1994)”</w:t>
      </w:r>
    </w:p>
    <w:p w:rsidR="00954152" w:rsidRPr="00A80827" w:rsidRDefault="00954152" w:rsidP="00954152">
      <w:pPr>
        <w:ind w:left="454" w:right="283"/>
        <w:jc w:val="both"/>
        <w:rPr>
          <w:rFonts w:cstheme="minorHAnsi"/>
        </w:rPr>
      </w:pPr>
    </w:p>
    <w:p w:rsidR="00D75348" w:rsidRPr="00A80827" w:rsidRDefault="00954152" w:rsidP="00954152">
      <w:pPr>
        <w:ind w:left="454" w:right="283"/>
        <w:jc w:val="both"/>
        <w:rPr>
          <w:rFonts w:cstheme="minorHAnsi"/>
        </w:rPr>
      </w:pPr>
      <w:r w:rsidRPr="00A80827">
        <w:rPr>
          <w:rFonts w:cstheme="minorHAnsi"/>
        </w:rPr>
        <w:t xml:space="preserve">Verifica-se no acórdão abaixo: Acórdão 2404/2010 Plenário (Relatório do Ministro Relator) </w:t>
      </w:r>
    </w:p>
    <w:p w:rsidR="00954152" w:rsidRPr="00A80827" w:rsidRDefault="00954152" w:rsidP="00954152">
      <w:pPr>
        <w:ind w:left="454" w:right="283"/>
        <w:jc w:val="both"/>
        <w:rPr>
          <w:rFonts w:cstheme="minorHAnsi"/>
        </w:rPr>
      </w:pPr>
      <w:r w:rsidRPr="00A80827">
        <w:rPr>
          <w:rFonts w:cstheme="minorHAnsi"/>
        </w:rPr>
        <w:t>“</w:t>
      </w:r>
      <w:r w:rsidRPr="00A80827">
        <w:rPr>
          <w:rFonts w:cstheme="minorHAnsi"/>
          <w:b/>
          <w:u w:val="single"/>
        </w:rPr>
        <w:t>O TCU considerou irregularidade</w:t>
      </w:r>
      <w:r w:rsidRPr="00A80827">
        <w:rPr>
          <w:rFonts w:cstheme="minorHAnsi"/>
        </w:rPr>
        <w:t xml:space="preserve"> a agregação de serviços de natureza distinta, passíveis de parcelamento, em um único objeto de contratação, em desacordo com o disposto no art. 23, §§ 1º e 2º da Lei 8.666/1993.”</w:t>
      </w:r>
    </w:p>
    <w:p w:rsidR="00954152" w:rsidRPr="00A80827" w:rsidRDefault="00954152" w:rsidP="00954152">
      <w:pPr>
        <w:ind w:left="454" w:right="283"/>
        <w:jc w:val="both"/>
        <w:rPr>
          <w:rFonts w:cstheme="minorHAnsi"/>
        </w:rPr>
      </w:pPr>
      <w:r w:rsidRPr="00A80827">
        <w:rPr>
          <w:rFonts w:cstheme="minorHAnsi"/>
        </w:rPr>
        <w:t xml:space="preserve"> Como ensina </w:t>
      </w:r>
      <w:proofErr w:type="spellStart"/>
      <w:r w:rsidRPr="00A80827">
        <w:rPr>
          <w:rFonts w:cstheme="minorHAnsi"/>
        </w:rPr>
        <w:t>Marçal.Justen</w:t>
      </w:r>
      <w:proofErr w:type="spellEnd"/>
      <w:r w:rsidRPr="00A80827">
        <w:rPr>
          <w:rFonts w:cstheme="minorHAnsi"/>
        </w:rPr>
        <w:t xml:space="preserve"> Filho: "Nos termos do princípio geral considerado no art. 23, § 1 </w:t>
      </w:r>
      <w:proofErr w:type="gramStart"/>
      <w:r w:rsidRPr="00A80827">
        <w:rPr>
          <w:rFonts w:cstheme="minorHAnsi"/>
        </w:rPr>
        <w:t>o ,</w:t>
      </w:r>
      <w:proofErr w:type="gramEnd"/>
      <w:r w:rsidRPr="00A80827">
        <w:rPr>
          <w:rFonts w:cstheme="minorHAnsi"/>
        </w:rPr>
        <w:t xml:space="preserve"> aplica-se a regra da preferência pelo fracionamento da contratação, quando isso for possível... O fracionamento visa ampliar a competitividade...” (Idem, op. cit., p. 181).</w:t>
      </w:r>
    </w:p>
    <w:p w:rsidR="00954152" w:rsidRPr="00A80827" w:rsidRDefault="00954152" w:rsidP="00954152">
      <w:pPr>
        <w:ind w:left="454" w:right="283"/>
        <w:jc w:val="both"/>
        <w:rPr>
          <w:rFonts w:cstheme="minorHAnsi"/>
        </w:rPr>
      </w:pPr>
    </w:p>
    <w:p w:rsidR="00954152" w:rsidRPr="00A80827" w:rsidRDefault="00954152" w:rsidP="00954152">
      <w:pPr>
        <w:ind w:left="454" w:right="283"/>
        <w:jc w:val="both"/>
        <w:rPr>
          <w:rFonts w:cstheme="minorHAnsi"/>
        </w:rPr>
      </w:pPr>
      <w:r w:rsidRPr="00A80827">
        <w:rPr>
          <w:rFonts w:cstheme="minorHAnsi"/>
        </w:rPr>
        <w:t xml:space="preserve"> É visto que a matéria tratada não exige maior debate jurídico, pois é assunto reiterado do Egrégio Tribunal de Contas da União, o qual já se pronunciou em diversos momentos: </w:t>
      </w:r>
    </w:p>
    <w:p w:rsidR="00954152" w:rsidRPr="00A80827" w:rsidRDefault="00954152" w:rsidP="00954152">
      <w:pPr>
        <w:ind w:left="454" w:right="283"/>
        <w:jc w:val="both"/>
        <w:rPr>
          <w:rFonts w:cstheme="minorHAnsi"/>
          <w:b/>
        </w:rPr>
      </w:pPr>
      <w:r w:rsidRPr="00A80827">
        <w:rPr>
          <w:rFonts w:cstheme="minorHAnsi"/>
          <w:b/>
        </w:rPr>
        <w:t xml:space="preserve">O TCU, na Decisão 393/94 do Plenário, assim se posicionou: </w:t>
      </w:r>
    </w:p>
    <w:p w:rsidR="00954152" w:rsidRPr="00A80827" w:rsidRDefault="00954152" w:rsidP="00954152">
      <w:pPr>
        <w:ind w:left="454" w:right="283"/>
        <w:jc w:val="both"/>
        <w:rPr>
          <w:rFonts w:cstheme="minorHAnsi"/>
        </w:rPr>
      </w:pPr>
      <w:r w:rsidRPr="00A80827">
        <w:rPr>
          <w:rFonts w:cstheme="minorHAnsi"/>
        </w:rPr>
        <w:t xml:space="preserve">"firmar o entendimento, de que, em decorrência do disposto no art. 3º, §1º, inciso I; art. 8º, § 1º e artigo 15, inciso IV, todos da Lei nº 8.666/1993, é obrigatória a admissão, nas licitações para a contratação de obras, serviços e compras, e para alienações, </w:t>
      </w:r>
      <w:r w:rsidRPr="00A80827">
        <w:rPr>
          <w:rFonts w:cstheme="minorHAnsi"/>
          <w:b/>
        </w:rPr>
        <w:t>onde o objeto for de natureza divisível, sem prejuízo do conjunto ou complexo, da adjudicação por itens e não pelo preço global, com vistas a propiciar a ampla participação dos licitantes que, embora não dispondo de capacidade para a execução, fornecimento ou aquisição da totalidade do objeto, possam, contudo, fazê-lo com referência a itens ou unidades autônomas, devendo as exigências de habilitação adequarem-se a essa divisibilidade"</w:t>
      </w:r>
      <w:r w:rsidRPr="00A80827">
        <w:rPr>
          <w:rFonts w:cstheme="minorHAnsi"/>
        </w:rPr>
        <w:t xml:space="preserve">. </w:t>
      </w:r>
    </w:p>
    <w:p w:rsidR="00954152" w:rsidRPr="00A80827" w:rsidRDefault="00954152" w:rsidP="00954152">
      <w:pPr>
        <w:ind w:left="454" w:right="283"/>
        <w:jc w:val="both"/>
        <w:rPr>
          <w:rFonts w:cstheme="minorHAnsi"/>
        </w:rPr>
      </w:pPr>
    </w:p>
    <w:p w:rsidR="00954152" w:rsidRPr="00A80827" w:rsidRDefault="00954152" w:rsidP="00954152">
      <w:pPr>
        <w:ind w:left="454" w:right="283"/>
        <w:jc w:val="both"/>
        <w:rPr>
          <w:rFonts w:cstheme="minorHAnsi"/>
        </w:rPr>
      </w:pPr>
    </w:p>
    <w:p w:rsidR="00954152" w:rsidRPr="00A80827" w:rsidRDefault="00954152" w:rsidP="00954152">
      <w:pPr>
        <w:ind w:left="454" w:right="283"/>
        <w:jc w:val="both"/>
        <w:rPr>
          <w:rFonts w:cstheme="minorHAnsi"/>
        </w:rPr>
      </w:pPr>
    </w:p>
    <w:p w:rsidR="00954152" w:rsidRPr="00A80827" w:rsidRDefault="00954152" w:rsidP="00954152">
      <w:pPr>
        <w:ind w:left="454" w:right="283"/>
        <w:jc w:val="both"/>
        <w:rPr>
          <w:rFonts w:cstheme="minorHAnsi"/>
        </w:rPr>
      </w:pPr>
      <w:r w:rsidRPr="00A80827">
        <w:rPr>
          <w:rFonts w:cstheme="minorHAnsi"/>
        </w:rPr>
        <w:t xml:space="preserve">Na esteira desse entendimento, foi publicada </w:t>
      </w:r>
      <w:r w:rsidRPr="00A80827">
        <w:rPr>
          <w:rFonts w:cstheme="minorHAnsi"/>
          <w:b/>
        </w:rPr>
        <w:t>a SÚMULA Nº 247 DO TCU</w:t>
      </w:r>
      <w:r w:rsidRPr="00A80827">
        <w:rPr>
          <w:rFonts w:cstheme="minorHAnsi"/>
        </w:rPr>
        <w:t>, que estabeleceu que:</w:t>
      </w:r>
      <w:r w:rsidRPr="00A80827">
        <w:rPr>
          <w:rFonts w:cstheme="minorHAnsi"/>
        </w:rPr>
        <w:br/>
      </w:r>
      <w:r w:rsidRPr="00A80827">
        <w:rPr>
          <w:rFonts w:cstheme="minorHAnsi"/>
        </w:rPr>
        <w:br/>
        <w:t xml:space="preserve"> "</w:t>
      </w:r>
      <w:r w:rsidRPr="00A80827">
        <w:rPr>
          <w:rFonts w:cstheme="minorHAnsi"/>
          <w:b/>
        </w:rPr>
        <w:t>É OBRIGATÓRIA a admissão da adjudicação por item e não por preço global</w:t>
      </w:r>
      <w:r w:rsidRPr="00A80827">
        <w:rPr>
          <w:rFonts w:cstheme="minorHAnsi"/>
        </w:rPr>
        <w:t xml:space="preserve">, nos editais das licitações para a contratação de obras, serviços, compras e alienações, cujo objeto seja divisível, desde que não haja prejuízo para o conjunto ou complexo ou perda de economia de escala, </w:t>
      </w:r>
      <w:r w:rsidRPr="00A80827">
        <w:rPr>
          <w:rFonts w:cstheme="minorHAnsi"/>
          <w:b/>
          <w:u w:val="single"/>
        </w:rPr>
        <w:t xml:space="preserve">tendo em vista o objetivo de propiciar a ampla participação de licitantes que, embora não dispondo de capacidade para a execução, fornecimento ou aquisição da totalidade do objeto, possam fazê-lo com relação a itens ou unidades autônomas, devendo as exigências de habilitação adequar-se a essa divisibilidade". </w:t>
      </w:r>
      <w:r w:rsidRPr="00A80827">
        <w:rPr>
          <w:rFonts w:cstheme="minorHAnsi"/>
          <w:b/>
          <w:u w:val="single"/>
        </w:rPr>
        <w:br/>
      </w:r>
    </w:p>
    <w:p w:rsidR="00A80827" w:rsidRPr="00A80827" w:rsidRDefault="00954152" w:rsidP="00954152">
      <w:pPr>
        <w:ind w:left="454" w:right="283"/>
        <w:jc w:val="both"/>
        <w:rPr>
          <w:rFonts w:cstheme="minorHAnsi"/>
        </w:rPr>
      </w:pPr>
      <w:r w:rsidRPr="00A80827">
        <w:rPr>
          <w:rFonts w:cstheme="minorHAnsi"/>
        </w:rPr>
        <w:t xml:space="preserve">Para Jessé Torres Pereira Júnior, ao comentar acerca do parcelamento do objeto, o dispositivo quer </w:t>
      </w:r>
      <w:r w:rsidRPr="00A80827">
        <w:rPr>
          <w:rFonts w:cstheme="minorHAnsi"/>
          <w:b/>
          <w:u w:val="single"/>
        </w:rPr>
        <w:t>"ampliar a competitividade</w:t>
      </w:r>
      <w:r w:rsidRPr="00A80827">
        <w:rPr>
          <w:rFonts w:cstheme="minorHAnsi"/>
        </w:rPr>
        <w:t xml:space="preserve"> no âmbito do mesmo procedimento licitatório, destinado à compra da integralidade do objeto. A ampliação adviria da possibilidade de cada licitante apresentar-se ao certame para cotar quantidades parciais do objeto, na expectativa de que tal participação formasse mosaico mais variado de cotações de preço, </w:t>
      </w:r>
      <w:r w:rsidRPr="00A80827">
        <w:rPr>
          <w:rFonts w:cstheme="minorHAnsi"/>
          <w:b/>
        </w:rPr>
        <w:t>BARATEANDO A COMPRA, DE UM LADO, E PROPORCIONANDO MAIOR ACESSO AO CERTAME A EMPRESAS DE MENOR PORTE, DE OUTRO".</w:t>
      </w:r>
      <w:r w:rsidRPr="00A80827">
        <w:rPr>
          <w:rFonts w:cstheme="minorHAnsi"/>
        </w:rPr>
        <w:t xml:space="preserve"> O mesmo autor ensina que, existindo a possibilidade de parcelamento do objeto, esse é dever da Administração, sob pena de descumprir princípios específicos da licitação, tal como o da competitividade. </w:t>
      </w:r>
    </w:p>
    <w:p w:rsidR="00A80827" w:rsidRPr="00A80827" w:rsidRDefault="00954152" w:rsidP="00954152">
      <w:pPr>
        <w:ind w:left="454" w:right="283"/>
        <w:jc w:val="both"/>
        <w:rPr>
          <w:rFonts w:cstheme="minorHAnsi"/>
        </w:rPr>
      </w:pPr>
      <w:r w:rsidRPr="00A80827">
        <w:rPr>
          <w:rFonts w:cstheme="minorHAnsi"/>
        </w:rPr>
        <w:t>Dessa forma, segundo a Jurisprudência Pátria, a Administração não se compadece com o princípio da Igualdade entre os licitantes ao fazer exigência, em edital de Processo Licitatório, que visa a restringir o número de participantes (TRF, in RD 166/155). É observado também, nestes termos:</w:t>
      </w:r>
    </w:p>
    <w:p w:rsidR="00A80827" w:rsidRPr="00A80827" w:rsidRDefault="00954152" w:rsidP="00954152">
      <w:pPr>
        <w:ind w:left="454" w:right="283"/>
        <w:jc w:val="both"/>
        <w:rPr>
          <w:rFonts w:cstheme="minorHAnsi"/>
        </w:rPr>
      </w:pPr>
      <w:r w:rsidRPr="00A80827">
        <w:rPr>
          <w:rFonts w:cstheme="minorHAnsi"/>
        </w:rPr>
        <w:t xml:space="preserve"> </w:t>
      </w:r>
      <w:r w:rsidRPr="00A80827">
        <w:rPr>
          <w:rFonts w:cstheme="minorHAnsi"/>
          <w:b/>
        </w:rPr>
        <w:t>“Acórdão 2477/2009-Plenário</w:t>
      </w:r>
      <w:r w:rsidRPr="00A80827">
        <w:rPr>
          <w:rFonts w:cstheme="minorHAnsi"/>
        </w:rPr>
        <w:t xml:space="preserve"> </w:t>
      </w:r>
      <w:r w:rsidR="00A80827" w:rsidRPr="00A80827">
        <w:rPr>
          <w:rFonts w:cstheme="minorHAnsi"/>
        </w:rPr>
        <w:br/>
      </w:r>
      <w:r w:rsidR="00A80827" w:rsidRPr="00A80827">
        <w:rPr>
          <w:rFonts w:cstheme="minorHAnsi"/>
        </w:rPr>
        <w:br/>
      </w:r>
      <w:r w:rsidRPr="00A80827">
        <w:rPr>
          <w:rFonts w:cstheme="minorHAnsi"/>
        </w:rPr>
        <w:t>Evite a inclusão de itens que restringem injustificadamente o caráter competitivo do certame e contrariam, dessa forma, o art. 3o, § 1o, inciso I, da Lei no 8.666/1993.”.</w:t>
      </w:r>
    </w:p>
    <w:p w:rsidR="00954152" w:rsidRPr="00A80827" w:rsidRDefault="00954152" w:rsidP="00954152">
      <w:pPr>
        <w:ind w:left="454" w:right="283"/>
        <w:jc w:val="both"/>
        <w:rPr>
          <w:rFonts w:cstheme="minorHAnsi"/>
        </w:rPr>
      </w:pPr>
      <w:r w:rsidRPr="00A80827">
        <w:rPr>
          <w:rFonts w:cstheme="minorHAnsi"/>
        </w:rPr>
        <w:t xml:space="preserve"> A maioria das empresas licitantes, mesmo possuindo total condição de fornecer os produtos requeridos, não terão condições de participarem deste pregão, pois comercializam apenas alguns itens e não TODOS os 26 constantes no lote 01. </w:t>
      </w:r>
    </w:p>
    <w:p w:rsidR="00954152" w:rsidRPr="00A80827" w:rsidRDefault="00954152" w:rsidP="00954152">
      <w:pPr>
        <w:ind w:left="454" w:right="283"/>
        <w:jc w:val="both"/>
        <w:rPr>
          <w:rFonts w:cstheme="minorHAnsi"/>
        </w:rPr>
      </w:pPr>
      <w:r w:rsidRPr="00A80827">
        <w:rPr>
          <w:rFonts w:cstheme="minorHAnsi"/>
        </w:rPr>
        <w:t xml:space="preserve">Dessa forma, diminui a concorrência e consequentemente traz prejuízo financeiro ao órgão público. A Impugnante pretende, através do presente ato, que seja feito o desmembramento do Lote 01 do Edital, tornando os itens independentes entre si ou separando tais itens em mais lotes, que sejam REALMENTE do mesmo segmento, ampliando assim, o leque de empresas participantes do certame. Se o Edital restringe a participação de licitantes, torna-se impraticável o seu devido cumprimento, a presença do lote 01, com itens autônomos e distintos não se reveste de razoabilidade que deve nortear as contratações, pelo contrário, está dissonante com o seu fim colimado, assim deve ser impugnado o edital. </w:t>
      </w:r>
    </w:p>
    <w:p w:rsidR="00954152" w:rsidRPr="00A80827" w:rsidRDefault="00954152" w:rsidP="00954152">
      <w:pPr>
        <w:ind w:left="454" w:right="283"/>
        <w:jc w:val="both"/>
        <w:rPr>
          <w:rFonts w:cstheme="minorHAnsi"/>
        </w:rPr>
      </w:pPr>
      <w:r w:rsidRPr="00A80827">
        <w:rPr>
          <w:rFonts w:cstheme="minorHAnsi"/>
        </w:rPr>
        <w:t xml:space="preserve">Verifica-se que se trata de uma matéria amplamente discutida pelo Tribunal de Contas, disciplinada em Lei e regida pelos Princípios Constitucionais que regem os atos da Administração Pública. Assim, de acordo com os </w:t>
      </w:r>
      <w:r w:rsidRPr="00A80827">
        <w:rPr>
          <w:rFonts w:cstheme="minorHAnsi"/>
        </w:rPr>
        <w:lastRenderedPageBreak/>
        <w:t xml:space="preserve">fundamentos jurídicos aqui expendidos, que são fonte de valia universal perante a sociedade brasileira, e principalmente aos agentes públicos, - pois constituem proteção ao sagrado interesse público maior - razão </w:t>
      </w:r>
      <w:r w:rsidR="00A80827" w:rsidRPr="00A80827">
        <w:rPr>
          <w:rFonts w:cstheme="minorHAnsi"/>
        </w:rPr>
        <w:t>está</w:t>
      </w:r>
      <w:bookmarkStart w:id="0" w:name="_GoBack"/>
      <w:bookmarkEnd w:id="0"/>
      <w:r w:rsidRPr="00A80827">
        <w:rPr>
          <w:rFonts w:cstheme="minorHAnsi"/>
        </w:rPr>
        <w:t xml:space="preserve"> suficiente a proclamar a retificação do edital referente à presença do “lote 01” e julgamento utilizando o critério de menor preço global, pelas razões supracitadas.</w:t>
      </w:r>
    </w:p>
    <w:p w:rsidR="00A80827" w:rsidRPr="00A80827" w:rsidRDefault="00A80827" w:rsidP="00954152">
      <w:pPr>
        <w:ind w:left="454" w:right="283"/>
        <w:jc w:val="both"/>
        <w:rPr>
          <w:rFonts w:cstheme="minorHAnsi"/>
        </w:rPr>
      </w:pPr>
    </w:p>
    <w:p w:rsidR="00A80827" w:rsidRDefault="00A80827" w:rsidP="00954152">
      <w:pPr>
        <w:ind w:left="454" w:right="283"/>
        <w:jc w:val="both"/>
        <w:rPr>
          <w:rFonts w:cstheme="minorHAnsi"/>
          <w:b/>
        </w:rPr>
      </w:pPr>
      <w:r w:rsidRPr="00A80827">
        <w:rPr>
          <w:rFonts w:cstheme="minorHAnsi"/>
          <w:b/>
        </w:rPr>
        <w:t>DO PEDIDO</w:t>
      </w:r>
    </w:p>
    <w:p w:rsidR="00A80827" w:rsidRDefault="00A80827" w:rsidP="00954152">
      <w:pPr>
        <w:ind w:left="454" w:right="283"/>
        <w:jc w:val="both"/>
        <w:rPr>
          <w:rFonts w:cstheme="minorHAnsi"/>
          <w:b/>
        </w:rPr>
      </w:pPr>
      <w:r>
        <w:t>Requer que seja dado provimento a presente impugnação para que seja feito o desmembramento do Lote 01 do Edital, excluindo assim, as características ora impugnadas do ato convocatório, retificando o Edital.</w:t>
      </w:r>
      <w:r w:rsidRPr="00A80827">
        <w:rPr>
          <w:rFonts w:cstheme="minorHAnsi"/>
          <w:b/>
        </w:rPr>
        <w:br/>
      </w:r>
    </w:p>
    <w:p w:rsidR="00A80827" w:rsidRDefault="00A80827" w:rsidP="00954152">
      <w:pPr>
        <w:ind w:left="454" w:right="283"/>
        <w:jc w:val="both"/>
      </w:pPr>
      <w:r>
        <w:t>Nestes Termos,</w:t>
      </w:r>
      <w:r>
        <w:br/>
      </w:r>
      <w:r>
        <w:br/>
      </w:r>
      <w:r>
        <w:t xml:space="preserve"> P. Deferimento. </w:t>
      </w:r>
    </w:p>
    <w:p w:rsidR="00A80827" w:rsidRDefault="00A80827" w:rsidP="00954152">
      <w:pPr>
        <w:ind w:left="454" w:right="283"/>
        <w:jc w:val="both"/>
      </w:pPr>
    </w:p>
    <w:p w:rsidR="00A80827" w:rsidRDefault="00A80827" w:rsidP="00954152">
      <w:pPr>
        <w:ind w:left="454" w:right="283"/>
        <w:jc w:val="both"/>
      </w:pPr>
      <w:r>
        <w:t>Blumenau, 11 de setembro de 2020</w:t>
      </w:r>
      <w:r>
        <w:t>.</w:t>
      </w:r>
    </w:p>
    <w:p w:rsidR="00A80827" w:rsidRPr="00A80827" w:rsidRDefault="00A80827" w:rsidP="00954152">
      <w:pPr>
        <w:ind w:left="454" w:right="283"/>
        <w:jc w:val="both"/>
        <w:rPr>
          <w:b/>
        </w:rPr>
      </w:pPr>
    </w:p>
    <w:p w:rsidR="00A80827" w:rsidRPr="00A80827" w:rsidRDefault="00A80827" w:rsidP="00954152">
      <w:pPr>
        <w:ind w:left="454" w:right="283"/>
        <w:jc w:val="both"/>
        <w:rPr>
          <w:b/>
        </w:rPr>
      </w:pPr>
      <w:r>
        <w:rPr>
          <w:b/>
        </w:rPr>
        <w:t xml:space="preserve">MAURICIO LISBOA KOCH </w:t>
      </w:r>
      <w:r w:rsidRPr="00A80827">
        <w:rPr>
          <w:b/>
        </w:rPr>
        <w:t xml:space="preserve"> </w:t>
      </w:r>
    </w:p>
    <w:p w:rsidR="00A80827" w:rsidRPr="00A80827" w:rsidRDefault="00A80827" w:rsidP="00954152">
      <w:pPr>
        <w:ind w:left="454" w:right="283"/>
        <w:jc w:val="both"/>
        <w:rPr>
          <w:rFonts w:cstheme="minorHAnsi"/>
          <w:b/>
        </w:rPr>
      </w:pPr>
      <w:r w:rsidRPr="00A80827">
        <w:rPr>
          <w:b/>
        </w:rPr>
        <w:t>Representante Legal</w:t>
      </w:r>
    </w:p>
    <w:sectPr w:rsidR="00A80827" w:rsidRPr="00A80827">
      <w:headerReference w:type="default" r:id="rId9"/>
      <w:footerReference w:type="default" r:id="rId10"/>
      <w:pgSz w:w="11906" w:h="16838"/>
      <w:pgMar w:top="765" w:right="720" w:bottom="765" w:left="720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6DA6" w:rsidRDefault="00506DA6">
      <w:pPr>
        <w:spacing w:after="0" w:line="240" w:lineRule="auto"/>
      </w:pPr>
      <w:r>
        <w:separator/>
      </w:r>
    </w:p>
  </w:endnote>
  <w:endnote w:type="continuationSeparator" w:id="0">
    <w:p w:rsidR="00506DA6" w:rsidRDefault="00506D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等线">
    <w:altName w:val="Microsoft YaHei"/>
    <w:charset w:val="86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 Light">
    <w:altName w:val="Segoe Print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Times New Roman"/>
    <w:charset w:val="00"/>
    <w:family w:val="swiss"/>
    <w:pitch w:val="default"/>
    <w:sig w:usb0="00000000" w:usb1="500078FF" w:usb2="00000021" w:usb3="00000000" w:csb0="600001BF" w:csb1="DFF7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DejaVu Sans Light">
    <w:altName w:val="Times New Roman"/>
    <w:charset w:val="00"/>
    <w:family w:val="roman"/>
    <w:pitch w:val="default"/>
    <w:sig w:usb0="00000001" w:usb1="5000007B" w:usb2="08004020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2A50" w:rsidRDefault="00B36FD6">
    <w:pPr>
      <w:pStyle w:val="Rodap"/>
      <w:jc w:val="center"/>
      <w:rPr>
        <w:color w:val="808080"/>
      </w:rPr>
    </w:pPr>
    <w:r>
      <w:rPr>
        <w:rFonts w:ascii="Dotum" w:eastAsia="Dotum" w:hAnsi="Dotum"/>
        <w:color w:val="808080"/>
        <w:sz w:val="20"/>
      </w:rPr>
      <w:t xml:space="preserve">Rua Luiz </w:t>
    </w:r>
    <w:proofErr w:type="spellStart"/>
    <w:r>
      <w:rPr>
        <w:rFonts w:ascii="Dotum" w:eastAsia="Dotum" w:hAnsi="Dotum"/>
        <w:color w:val="808080"/>
        <w:sz w:val="20"/>
      </w:rPr>
      <w:t>Altemburg</w:t>
    </w:r>
    <w:proofErr w:type="spellEnd"/>
    <w:r>
      <w:rPr>
        <w:rFonts w:ascii="Dotum" w:eastAsia="Dotum" w:hAnsi="Dotum"/>
        <w:color w:val="808080"/>
        <w:sz w:val="20"/>
      </w:rPr>
      <w:t xml:space="preserve"> </w:t>
    </w:r>
    <w:proofErr w:type="spellStart"/>
    <w:r>
      <w:rPr>
        <w:rFonts w:ascii="Dotum" w:eastAsia="Dotum" w:hAnsi="Dotum"/>
        <w:color w:val="808080"/>
        <w:sz w:val="20"/>
      </w:rPr>
      <w:t>Senior</w:t>
    </w:r>
    <w:proofErr w:type="spellEnd"/>
    <w:r>
      <w:rPr>
        <w:rFonts w:ascii="Dotum" w:eastAsia="Dotum" w:hAnsi="Dotum"/>
        <w:color w:val="808080"/>
        <w:sz w:val="20"/>
      </w:rPr>
      <w:t>, 635 – Sala 101 – Escola Agrícola - Blumenau – SC – CEP 89031-300</w:t>
    </w:r>
  </w:p>
  <w:p w:rsidR="00CB2A50" w:rsidRDefault="00B36FD6">
    <w:pPr>
      <w:pStyle w:val="Rodap"/>
      <w:jc w:val="center"/>
      <w:rPr>
        <w:rFonts w:ascii="Dotum" w:eastAsia="Dotum" w:hAnsi="Dotum"/>
        <w:sz w:val="20"/>
      </w:rPr>
    </w:pPr>
    <w:r>
      <w:rPr>
        <w:rFonts w:ascii="Dotum" w:eastAsia="Dotum" w:hAnsi="Dotum"/>
        <w:color w:val="808080"/>
        <w:sz w:val="20"/>
      </w:rPr>
      <w:t>Telefone (47) 3057-3930 | propostas@itaca.eco.br | CNPJ: 24.845.457/0001-65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6DA6" w:rsidRDefault="00506DA6">
      <w:pPr>
        <w:spacing w:after="0" w:line="240" w:lineRule="auto"/>
      </w:pPr>
      <w:r>
        <w:separator/>
      </w:r>
    </w:p>
  </w:footnote>
  <w:footnote w:type="continuationSeparator" w:id="0">
    <w:p w:rsidR="00506DA6" w:rsidRDefault="00506D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2A50" w:rsidRDefault="00B36FD6">
    <w:pPr>
      <w:pStyle w:val="Cabealho"/>
      <w:jc w:val="right"/>
      <w:rPr>
        <w:rFonts w:ascii="Microsoft Yi Baiti" w:eastAsia="Microsoft Yi Baiti" w:hAnsi="Microsoft Yi Baiti" w:cs="DejaVu Sans Light"/>
        <w:b/>
        <w:sz w:val="52"/>
      </w:rPr>
    </w:pPr>
    <w:r>
      <w:rPr>
        <w:rFonts w:ascii="Microsoft Yi Baiti" w:eastAsia="Microsoft Yi Baiti" w:hAnsi="Microsoft Yi Baiti" w:cs="DejaVu Sans Light"/>
        <w:b/>
        <w:color w:val="808080"/>
        <w:sz w:val="52"/>
      </w:rPr>
      <w:t>ÍTACA EIRELI</w:t>
    </w:r>
  </w:p>
  <w:p w:rsidR="00CB2A50" w:rsidRDefault="00B36FD6">
    <w:pPr>
      <w:pStyle w:val="Cabealho"/>
      <w:jc w:val="right"/>
      <w:rPr>
        <w:rFonts w:ascii="DejaVu Sans Light" w:eastAsia="Dotum" w:hAnsi="DejaVu Sans Light" w:cs="DejaVu Sans Light"/>
        <w:sz w:val="24"/>
        <w:szCs w:val="20"/>
      </w:rPr>
    </w:pPr>
    <w:r>
      <w:rPr>
        <w:rFonts w:ascii="DejaVu Sans Light" w:eastAsia="Dotum" w:hAnsi="DejaVu Sans Light" w:cs="DejaVu Sans Light"/>
        <w:color w:val="808080"/>
        <w:sz w:val="24"/>
        <w:szCs w:val="20"/>
      </w:rPr>
      <w:t xml:space="preserve">CNPJ: 24.845.457/0001-65 - IE: 257.974.776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453517"/>
    <w:multiLevelType w:val="hybridMultilevel"/>
    <w:tmpl w:val="322E9F8E"/>
    <w:lvl w:ilvl="0" w:tplc="D152D12C">
      <w:start w:val="1"/>
      <w:numFmt w:val="upperLetter"/>
      <w:lvlText w:val="%1)"/>
      <w:lvlJc w:val="left"/>
      <w:pPr>
        <w:ind w:left="502" w:hanging="360"/>
      </w:pPr>
      <w:rPr>
        <w:rFonts w:ascii="Arial" w:hAnsi="Arial" w:cs="Arial" w:hint="default"/>
        <w:sz w:val="2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A50"/>
    <w:rsid w:val="0001704F"/>
    <w:rsid w:val="0003187E"/>
    <w:rsid w:val="001917B4"/>
    <w:rsid w:val="0025124E"/>
    <w:rsid w:val="002E6437"/>
    <w:rsid w:val="00455ACB"/>
    <w:rsid w:val="004F6B27"/>
    <w:rsid w:val="00506DA6"/>
    <w:rsid w:val="00534825"/>
    <w:rsid w:val="0058108F"/>
    <w:rsid w:val="005A21E8"/>
    <w:rsid w:val="005B5729"/>
    <w:rsid w:val="006B4DF1"/>
    <w:rsid w:val="006D57AA"/>
    <w:rsid w:val="007E5090"/>
    <w:rsid w:val="00825692"/>
    <w:rsid w:val="00835C39"/>
    <w:rsid w:val="00847E64"/>
    <w:rsid w:val="008930BB"/>
    <w:rsid w:val="00910859"/>
    <w:rsid w:val="00954152"/>
    <w:rsid w:val="00962929"/>
    <w:rsid w:val="00A729FD"/>
    <w:rsid w:val="00A80827"/>
    <w:rsid w:val="00AA768A"/>
    <w:rsid w:val="00AE6591"/>
    <w:rsid w:val="00B36FD6"/>
    <w:rsid w:val="00BE58D5"/>
    <w:rsid w:val="00CB2A50"/>
    <w:rsid w:val="00CF4218"/>
    <w:rsid w:val="00D75348"/>
    <w:rsid w:val="00D8016D"/>
    <w:rsid w:val="00DA42DF"/>
    <w:rsid w:val="00E56DC6"/>
    <w:rsid w:val="00F153BE"/>
    <w:rsid w:val="00F31DC6"/>
    <w:rsid w:val="00F44516"/>
    <w:rsid w:val="00FC1661"/>
    <w:rsid w:val="32D21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B03731-C856-4C39-AFCB-D13CD7A8C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ista">
    <w:name w:val="List"/>
    <w:basedOn w:val="Corpodetexto1"/>
    <w:rPr>
      <w:rFonts w:cs="Mangal"/>
    </w:rPr>
  </w:style>
  <w:style w:type="paragraph" w:customStyle="1" w:styleId="Corpodetexto1">
    <w:name w:val="Corpo de texto1"/>
    <w:basedOn w:val="Normal"/>
    <w:qFormat/>
    <w:pPr>
      <w:spacing w:after="283" w:line="240" w:lineRule="auto"/>
    </w:pPr>
    <w:rPr>
      <w:rFonts w:ascii="Tahoma" w:eastAsia="Times New Roman" w:hAnsi="Tahoma" w:cs="Tahoma"/>
      <w:sz w:val="24"/>
      <w:szCs w:val="24"/>
      <w:lang w:eastAsia="pt-BR"/>
    </w:rPr>
  </w:style>
  <w:style w:type="paragraph" w:styleId="Ttulo">
    <w:name w:val="Title"/>
    <w:basedOn w:val="Normal"/>
    <w:next w:val="Normal"/>
    <w:link w:val="TtuloChar"/>
    <w:uiPriority w:val="10"/>
    <w:qFormat/>
    <w:pPr>
      <w:pBdr>
        <w:bottom w:val="single" w:sz="8" w:space="4" w:color="5B9BD5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tulo">
    <w:name w:val="Subtitle"/>
    <w:basedOn w:val="Normal"/>
    <w:next w:val="Normal"/>
    <w:link w:val="SubttuloChar"/>
    <w:uiPriority w:val="11"/>
    <w:qFormat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uiPriority w:val="99"/>
    <w:qFormat/>
  </w:style>
  <w:style w:type="character" w:customStyle="1" w:styleId="LinkdaInternet">
    <w:name w:val="Link da Internet"/>
    <w:basedOn w:val="Fontepargpadro"/>
    <w:uiPriority w:val="99"/>
    <w:unhideWhenUsed/>
    <w:qFormat/>
    <w:rPr>
      <w:color w:val="0563C1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qFormat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qFormat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qFormat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har">
    <w:name w:val="Título 4 Char"/>
    <w:basedOn w:val="Fontepargpadro"/>
    <w:link w:val="Ttulo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tuloChar">
    <w:name w:val="Título Char"/>
    <w:basedOn w:val="Fontepargpadro"/>
    <w:link w:val="Ttulo"/>
    <w:uiPriority w:val="10"/>
    <w:qFormat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tuloChar">
    <w:name w:val="Subtítulo Char"/>
    <w:basedOn w:val="Fontepargpadro"/>
    <w:link w:val="Subttulo"/>
    <w:uiPriority w:val="11"/>
    <w:qFormat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nfase1">
    <w:name w:val="Ênfase1"/>
    <w:basedOn w:val="Fontepargpadro"/>
    <w:uiPriority w:val="20"/>
    <w:qFormat/>
    <w:rPr>
      <w:i/>
      <w:iCs/>
    </w:rPr>
  </w:style>
  <w:style w:type="character" w:customStyle="1" w:styleId="CitaoChar">
    <w:name w:val="Citação Char"/>
    <w:basedOn w:val="Fontepargpadro"/>
    <w:link w:val="Citao"/>
    <w:uiPriority w:val="29"/>
    <w:qFormat/>
    <w:rPr>
      <w:i/>
      <w:iCs/>
      <w:color w:val="000000" w:themeColor="text1"/>
    </w:rPr>
  </w:style>
  <w:style w:type="paragraph" w:styleId="Citao">
    <w:name w:val="Quote"/>
    <w:basedOn w:val="Normal"/>
    <w:next w:val="Normal"/>
    <w:link w:val="CitaoChar"/>
    <w:uiPriority w:val="29"/>
    <w:qFormat/>
    <w:rPr>
      <w:i/>
      <w:iCs/>
      <w:color w:val="000000" w:themeColor="text1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Pr>
      <w:b/>
      <w:bCs/>
      <w:i/>
      <w:iCs/>
      <w:color w:val="5B9BD5" w:themeColor="accent1"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bottom w:val="single" w:sz="4" w:space="4" w:color="5B9BD5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nfaseSutil1">
    <w:name w:val="Ênfase Sutil1"/>
    <w:basedOn w:val="Fontepargpadro"/>
    <w:uiPriority w:val="19"/>
    <w:qFormat/>
    <w:rPr>
      <w:i/>
      <w:iCs/>
      <w:color w:val="7F7F7F" w:themeColor="text1" w:themeTint="80"/>
    </w:rPr>
  </w:style>
  <w:style w:type="character" w:customStyle="1" w:styleId="nfaseIntensa1">
    <w:name w:val="Ênfase Intensa1"/>
    <w:basedOn w:val="Fontepargpadro"/>
    <w:uiPriority w:val="21"/>
    <w:qFormat/>
    <w:rPr>
      <w:b/>
      <w:bCs/>
      <w:i/>
      <w:iCs/>
      <w:color w:val="5B9BD5" w:themeColor="accent1"/>
    </w:rPr>
  </w:style>
  <w:style w:type="character" w:customStyle="1" w:styleId="RefernciaSutil1">
    <w:name w:val="Referência Sutil1"/>
    <w:basedOn w:val="Fontepargpadro"/>
    <w:uiPriority w:val="31"/>
    <w:qFormat/>
    <w:rPr>
      <w:smallCaps/>
      <w:color w:val="ED7D31" w:themeColor="accent2"/>
      <w:u w:val="single"/>
    </w:rPr>
  </w:style>
  <w:style w:type="character" w:customStyle="1" w:styleId="RefernciaIntensa1">
    <w:name w:val="Referência Intensa1"/>
    <w:basedOn w:val="Fontepargpadro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customStyle="1" w:styleId="TtulodoLivro1">
    <w:name w:val="Título do Livro1"/>
    <w:basedOn w:val="Fontepargpadro"/>
    <w:uiPriority w:val="33"/>
    <w:qFormat/>
    <w:rPr>
      <w:b/>
      <w:bCs/>
      <w:smallCaps/>
      <w:spacing w:val="5"/>
    </w:rPr>
  </w:style>
  <w:style w:type="paragraph" w:customStyle="1" w:styleId="Ttulo10">
    <w:name w:val="Título1"/>
    <w:basedOn w:val="Normal"/>
    <w:next w:val="Corpodetexto1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CabealhoeRodap">
    <w:name w:val="Cabeçalho e Rodapé"/>
    <w:basedOn w:val="Normal"/>
    <w:qFormat/>
  </w:style>
  <w:style w:type="paragraph" w:styleId="SemEspaamento">
    <w:name w:val="No Spacing"/>
    <w:uiPriority w:val="1"/>
    <w:qFormat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F445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4516"/>
    <w:rPr>
      <w:rFonts w:ascii="Segoe UI" w:eastAsiaTheme="minorEastAsia" w:hAnsi="Segoe UI" w:cs="Segoe UI"/>
      <w:sz w:val="18"/>
      <w:szCs w:val="18"/>
      <w:lang w:eastAsia="en-US"/>
    </w:rPr>
  </w:style>
  <w:style w:type="paragraph" w:customStyle="1" w:styleId="Ttulo2Arial">
    <w:name w:val="Título 2 + Arial"/>
    <w:aliases w:val="À esquerda,Não Expandido por / Condensado por,Espaçament..."/>
    <w:basedOn w:val="Ttulo2"/>
    <w:uiPriority w:val="99"/>
    <w:rsid w:val="00D8016D"/>
    <w:pPr>
      <w:keepLines w:val="0"/>
      <w:spacing w:before="0" w:line="240" w:lineRule="auto"/>
    </w:pPr>
    <w:rPr>
      <w:rFonts w:ascii="Arial" w:eastAsia="Batang" w:hAnsi="Arial" w:cs="Arial"/>
      <w:b w:val="0"/>
      <w:bCs w:val="0"/>
      <w:color w:val="auto"/>
      <w:sz w:val="28"/>
      <w:szCs w:val="2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3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ECE3D3A-4AC8-46C7-B7C0-2B51BB8B0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1495</Words>
  <Characters>8079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Ronan</dc:creator>
  <cp:lastModifiedBy>Rose</cp:lastModifiedBy>
  <cp:revision>3</cp:revision>
  <cp:lastPrinted>2020-07-08T19:58:00Z</cp:lastPrinted>
  <dcterms:created xsi:type="dcterms:W3CDTF">2020-09-10T22:00:00Z</dcterms:created>
  <dcterms:modified xsi:type="dcterms:W3CDTF">2020-09-11T11:33:00Z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1046-11.2.0.9031</vt:lpwstr>
  </property>
</Properties>
</file>